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494B4" w14:textId="77777777" w:rsidR="00441BBF" w:rsidRDefault="00441BBF">
      <w:pPr>
        <w:widowControl w:val="0"/>
        <w:spacing w:after="0"/>
        <w:rPr>
          <w:rFonts w:ascii="Trebuchet MS" w:eastAsia="Trebuchet MS" w:hAnsi="Trebuchet MS" w:cs="Trebuchet MS"/>
          <w:color w:val="434343"/>
        </w:rPr>
      </w:pPr>
    </w:p>
    <w:tbl>
      <w:tblPr>
        <w:tblStyle w:val="a"/>
        <w:tblW w:w="9960" w:type="dxa"/>
        <w:tblInd w:w="129" w:type="dxa"/>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Layout w:type="fixed"/>
        <w:tblLook w:val="0600" w:firstRow="0" w:lastRow="0" w:firstColumn="0" w:lastColumn="0" w:noHBand="1" w:noVBand="1"/>
      </w:tblPr>
      <w:tblGrid>
        <w:gridCol w:w="1936"/>
        <w:gridCol w:w="2610"/>
        <w:gridCol w:w="5414"/>
      </w:tblGrid>
      <w:tr w:rsidR="00F46F8A" w14:paraId="6D15F1BD" w14:textId="77777777" w:rsidTr="00274EAC">
        <w:trPr>
          <w:tblHeader/>
        </w:trPr>
        <w:tc>
          <w:tcPr>
            <w:tcW w:w="1936" w:type="dxa"/>
            <w:shd w:val="clear" w:color="auto" w:fill="A6192E"/>
            <w:tcMar>
              <w:top w:w="129" w:type="dxa"/>
              <w:left w:w="129" w:type="dxa"/>
              <w:bottom w:w="129" w:type="dxa"/>
              <w:right w:w="129" w:type="dxa"/>
            </w:tcMar>
          </w:tcPr>
          <w:p w14:paraId="6FB96B9E" w14:textId="44CCDFDD" w:rsidR="00F46F8A" w:rsidRPr="00F46F8A" w:rsidRDefault="00F46F8A" w:rsidP="00F46F8A">
            <w:pPr>
              <w:widowControl w:val="0"/>
              <w:pBdr>
                <w:top w:val="nil"/>
                <w:left w:val="nil"/>
                <w:bottom w:val="nil"/>
                <w:right w:val="nil"/>
                <w:between w:val="nil"/>
              </w:pBdr>
              <w:spacing w:after="0"/>
              <w:rPr>
                <w:rFonts w:ascii="Trebuchet MS" w:eastAsia="Trebuchet MS" w:hAnsi="Trebuchet MS" w:cs="Trebuchet MS"/>
                <w:b/>
                <w:color w:val="FFFFFF" w:themeColor="background1"/>
              </w:rPr>
            </w:pPr>
            <w:r w:rsidRPr="00F46F8A">
              <w:rPr>
                <w:b/>
                <w:color w:val="FFFFFF" w:themeColor="background1"/>
              </w:rPr>
              <w:t>Directive / Category</w:t>
            </w:r>
          </w:p>
        </w:tc>
        <w:tc>
          <w:tcPr>
            <w:tcW w:w="2610" w:type="dxa"/>
            <w:shd w:val="clear" w:color="auto" w:fill="A6192E"/>
            <w:tcMar>
              <w:top w:w="129" w:type="dxa"/>
              <w:left w:w="129" w:type="dxa"/>
              <w:bottom w:w="129" w:type="dxa"/>
              <w:right w:w="129" w:type="dxa"/>
            </w:tcMar>
          </w:tcPr>
          <w:p w14:paraId="73D38F24" w14:textId="77777777" w:rsidR="00F46F8A" w:rsidRPr="00F46F8A" w:rsidRDefault="00F46F8A" w:rsidP="00F46F8A">
            <w:pPr>
              <w:pStyle w:val="ListParagraph"/>
              <w:ind w:left="0"/>
              <w:jc w:val="center"/>
              <w:rPr>
                <w:b/>
                <w:color w:val="FFFFFF" w:themeColor="background1"/>
              </w:rPr>
            </w:pPr>
            <w:r w:rsidRPr="00F46F8A">
              <w:rPr>
                <w:b/>
                <w:color w:val="FFFFFF" w:themeColor="background1"/>
              </w:rPr>
              <w:t>Questions</w:t>
            </w:r>
          </w:p>
          <w:p w14:paraId="37628F60" w14:textId="02B4F97B" w:rsidR="00F46F8A" w:rsidRPr="00F46F8A" w:rsidRDefault="00F46F8A" w:rsidP="00F46F8A">
            <w:pPr>
              <w:widowControl w:val="0"/>
              <w:spacing w:after="0"/>
              <w:rPr>
                <w:rFonts w:ascii="Trebuchet MS" w:eastAsia="Trebuchet MS" w:hAnsi="Trebuchet MS" w:cs="Trebuchet MS"/>
                <w:b/>
                <w:color w:val="FFFFFF" w:themeColor="background1"/>
              </w:rPr>
            </w:pPr>
          </w:p>
        </w:tc>
        <w:tc>
          <w:tcPr>
            <w:tcW w:w="5414" w:type="dxa"/>
            <w:shd w:val="clear" w:color="auto" w:fill="A6192E"/>
            <w:tcMar>
              <w:top w:w="129" w:type="dxa"/>
              <w:left w:w="129" w:type="dxa"/>
              <w:bottom w:w="129" w:type="dxa"/>
              <w:right w:w="129" w:type="dxa"/>
            </w:tcMar>
          </w:tcPr>
          <w:p w14:paraId="5B231CD5" w14:textId="7AB855C4" w:rsidR="00F46F8A" w:rsidRPr="00F46F8A" w:rsidRDefault="00F46F8A" w:rsidP="00F46F8A">
            <w:pPr>
              <w:widowControl w:val="0"/>
              <w:spacing w:after="0"/>
              <w:rPr>
                <w:rFonts w:ascii="Trebuchet MS" w:eastAsia="Trebuchet MS" w:hAnsi="Trebuchet MS" w:cs="Trebuchet MS"/>
                <w:b/>
                <w:color w:val="FFFFFF" w:themeColor="background1"/>
              </w:rPr>
            </w:pPr>
            <w:r w:rsidRPr="00F46F8A">
              <w:rPr>
                <w:b/>
                <w:color w:val="FFFFFF" w:themeColor="background1"/>
              </w:rPr>
              <w:t>Answers</w:t>
            </w:r>
          </w:p>
        </w:tc>
      </w:tr>
      <w:tr w:rsidR="00F46F8A" w14:paraId="22FAF2C3" w14:textId="77777777" w:rsidTr="00274EAC">
        <w:tc>
          <w:tcPr>
            <w:tcW w:w="1936" w:type="dxa"/>
            <w:tcMar>
              <w:top w:w="129" w:type="dxa"/>
              <w:left w:w="129" w:type="dxa"/>
              <w:bottom w:w="129" w:type="dxa"/>
              <w:right w:w="129" w:type="dxa"/>
            </w:tcMar>
            <w:vAlign w:val="center"/>
          </w:tcPr>
          <w:p w14:paraId="7DE7E21B" w14:textId="698D3E35" w:rsidR="00F46F8A" w:rsidRDefault="00F46F8A" w:rsidP="00F46F8A">
            <w:pPr>
              <w:widowControl w:val="0"/>
              <w:spacing w:after="0"/>
              <w:rPr>
                <w:rFonts w:ascii="Trebuchet MS" w:eastAsia="Trebuchet MS" w:hAnsi="Trebuchet MS" w:cs="Trebuchet MS"/>
                <w:color w:val="434343"/>
              </w:rPr>
            </w:pPr>
            <w:r w:rsidRPr="00D60059">
              <w:rPr>
                <w:b/>
                <w:sz w:val="20"/>
                <w:szCs w:val="20"/>
              </w:rPr>
              <w:t>Employment and Compensation</w:t>
            </w:r>
          </w:p>
        </w:tc>
        <w:tc>
          <w:tcPr>
            <w:tcW w:w="2610" w:type="dxa"/>
            <w:tcMar>
              <w:top w:w="129" w:type="dxa"/>
              <w:left w:w="129" w:type="dxa"/>
              <w:bottom w:w="129" w:type="dxa"/>
              <w:right w:w="129" w:type="dxa"/>
            </w:tcMar>
          </w:tcPr>
          <w:p w14:paraId="6A985C1B" w14:textId="77777777" w:rsidR="00F46F8A" w:rsidRPr="00D60059" w:rsidRDefault="00F46F8A" w:rsidP="00F46F8A">
            <w:pPr>
              <w:pStyle w:val="ListParagraph"/>
              <w:numPr>
                <w:ilvl w:val="0"/>
                <w:numId w:val="7"/>
              </w:numPr>
              <w:spacing w:after="0" w:line="240" w:lineRule="auto"/>
              <w:rPr>
                <w:sz w:val="20"/>
                <w:szCs w:val="20"/>
              </w:rPr>
            </w:pPr>
            <w:r w:rsidRPr="00D60059">
              <w:rPr>
                <w:sz w:val="20"/>
                <w:szCs w:val="20"/>
              </w:rPr>
              <w:t xml:space="preserve">In reference to "International Researchers" - regarding employment and compensation... can you give an example of the context in which you were using this term? </w:t>
            </w:r>
          </w:p>
          <w:p w14:paraId="72126461" w14:textId="77777777" w:rsidR="00F46F8A" w:rsidRPr="00D60059" w:rsidRDefault="00F46F8A" w:rsidP="00F46F8A">
            <w:pPr>
              <w:pStyle w:val="ListParagraph"/>
              <w:ind w:left="360"/>
              <w:rPr>
                <w:sz w:val="20"/>
                <w:szCs w:val="20"/>
              </w:rPr>
            </w:pPr>
          </w:p>
          <w:p w14:paraId="46A1BEA5" w14:textId="77777777" w:rsidR="00F46F8A" w:rsidRDefault="00F46F8A" w:rsidP="00F46F8A">
            <w:pPr>
              <w:pStyle w:val="ListParagraph"/>
              <w:ind w:left="360"/>
              <w:rPr>
                <w:sz w:val="20"/>
                <w:szCs w:val="20"/>
              </w:rPr>
            </w:pPr>
            <w:r w:rsidRPr="00D60059">
              <w:rPr>
                <w:sz w:val="20"/>
                <w:szCs w:val="20"/>
              </w:rPr>
              <w:t xml:space="preserve">For example, an RA hired to work in the lab? Grad Students? </w:t>
            </w:r>
          </w:p>
          <w:p w14:paraId="43DA2F27" w14:textId="12134D56" w:rsidR="00F46F8A" w:rsidRDefault="00F46F8A" w:rsidP="00F46F8A">
            <w:pPr>
              <w:widowControl w:val="0"/>
              <w:pBdr>
                <w:top w:val="nil"/>
                <w:left w:val="nil"/>
                <w:bottom w:val="nil"/>
                <w:right w:val="nil"/>
                <w:between w:val="nil"/>
              </w:pBdr>
              <w:spacing w:after="0"/>
              <w:rPr>
                <w:rFonts w:ascii="Trebuchet MS" w:eastAsia="Trebuchet MS" w:hAnsi="Trebuchet MS" w:cs="Trebuchet MS"/>
                <w:color w:val="434343"/>
              </w:rPr>
            </w:pPr>
          </w:p>
        </w:tc>
        <w:tc>
          <w:tcPr>
            <w:tcW w:w="5414" w:type="dxa"/>
            <w:tcMar>
              <w:top w:w="129" w:type="dxa"/>
              <w:left w:w="129" w:type="dxa"/>
              <w:bottom w:w="129" w:type="dxa"/>
              <w:right w:w="129" w:type="dxa"/>
            </w:tcMar>
          </w:tcPr>
          <w:p w14:paraId="461B9EE0" w14:textId="77777777" w:rsidR="00F46F8A" w:rsidRPr="00D60059" w:rsidRDefault="00F46F8A" w:rsidP="00F46F8A">
            <w:pPr>
              <w:pStyle w:val="ListParagraph"/>
              <w:numPr>
                <w:ilvl w:val="0"/>
                <w:numId w:val="8"/>
              </w:numPr>
              <w:spacing w:after="0" w:line="240" w:lineRule="auto"/>
              <w:rPr>
                <w:sz w:val="20"/>
                <w:szCs w:val="20"/>
              </w:rPr>
            </w:pPr>
            <w:r w:rsidRPr="00D60059">
              <w:rPr>
                <w:sz w:val="20"/>
                <w:szCs w:val="20"/>
              </w:rPr>
              <w:t>Definition from TAGFA: “International Researcher is a researcher whose primary place of employment is outside of Canada”.</w:t>
            </w:r>
          </w:p>
          <w:p w14:paraId="2CAAD689" w14:textId="77777777" w:rsidR="00F46F8A" w:rsidRPr="00D60059" w:rsidRDefault="00F46F8A" w:rsidP="00F46F8A">
            <w:pPr>
              <w:rPr>
                <w:sz w:val="20"/>
                <w:szCs w:val="20"/>
              </w:rPr>
            </w:pPr>
          </w:p>
          <w:p w14:paraId="30F51379" w14:textId="77777777" w:rsidR="00F46F8A" w:rsidRPr="00D60059" w:rsidRDefault="00F46F8A" w:rsidP="00F46F8A">
            <w:pPr>
              <w:pStyle w:val="ListParagraph"/>
              <w:numPr>
                <w:ilvl w:val="0"/>
                <w:numId w:val="8"/>
              </w:numPr>
              <w:spacing w:after="0" w:line="240" w:lineRule="auto"/>
              <w:rPr>
                <w:sz w:val="20"/>
                <w:szCs w:val="20"/>
              </w:rPr>
            </w:pPr>
            <w:r w:rsidRPr="00D60059">
              <w:rPr>
                <w:sz w:val="20"/>
                <w:szCs w:val="20"/>
              </w:rPr>
              <w:t xml:space="preserve">The individual would have the same qualifications as a Grantee; it </w:t>
            </w:r>
            <w:r w:rsidRPr="00D60059">
              <w:rPr>
                <w:b/>
                <w:i/>
                <w:sz w:val="20"/>
                <w:szCs w:val="20"/>
              </w:rPr>
              <w:t>would not</w:t>
            </w:r>
            <w:r w:rsidRPr="00D60059">
              <w:rPr>
                <w:sz w:val="20"/>
                <w:szCs w:val="20"/>
              </w:rPr>
              <w:t xml:space="preserve"> be a research assistant or a graduate student.</w:t>
            </w:r>
          </w:p>
          <w:p w14:paraId="244FC310" w14:textId="13006AF1" w:rsidR="00F46F8A" w:rsidRDefault="00F46F8A" w:rsidP="00F46F8A">
            <w:pPr>
              <w:widowControl w:val="0"/>
              <w:spacing w:after="0"/>
              <w:rPr>
                <w:rFonts w:ascii="Trebuchet MS" w:eastAsia="Trebuchet MS" w:hAnsi="Trebuchet MS" w:cs="Trebuchet MS"/>
                <w:color w:val="434343"/>
              </w:rPr>
            </w:pPr>
          </w:p>
        </w:tc>
      </w:tr>
      <w:tr w:rsidR="00F46F8A" w14:paraId="1EDC044B" w14:textId="77777777" w:rsidTr="00274EAC">
        <w:tc>
          <w:tcPr>
            <w:tcW w:w="1936" w:type="dxa"/>
            <w:tcMar>
              <w:top w:w="129" w:type="dxa"/>
              <w:left w:w="129" w:type="dxa"/>
              <w:bottom w:w="129" w:type="dxa"/>
              <w:right w:w="129" w:type="dxa"/>
            </w:tcMar>
            <w:vAlign w:val="center"/>
          </w:tcPr>
          <w:p w14:paraId="103FF44A" w14:textId="185C0F81" w:rsidR="00F46F8A" w:rsidRDefault="00F46F8A" w:rsidP="00F46F8A">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Employment and Compensation</w:t>
            </w:r>
          </w:p>
        </w:tc>
        <w:tc>
          <w:tcPr>
            <w:tcW w:w="2610" w:type="dxa"/>
            <w:tcMar>
              <w:top w:w="129" w:type="dxa"/>
              <w:left w:w="129" w:type="dxa"/>
              <w:bottom w:w="129" w:type="dxa"/>
              <w:right w:w="129" w:type="dxa"/>
            </w:tcMar>
          </w:tcPr>
          <w:p w14:paraId="008B7F5F" w14:textId="1ECB774C" w:rsidR="00F46F8A" w:rsidRPr="00F46F8A" w:rsidRDefault="00F46F8A" w:rsidP="00F46F8A">
            <w:pPr>
              <w:pStyle w:val="ListParagraph"/>
              <w:numPr>
                <w:ilvl w:val="0"/>
                <w:numId w:val="7"/>
              </w:numPr>
              <w:spacing w:after="0" w:line="240" w:lineRule="auto"/>
              <w:rPr>
                <w:sz w:val="20"/>
                <w:szCs w:val="20"/>
              </w:rPr>
            </w:pPr>
            <w:r w:rsidRPr="00D60059">
              <w:rPr>
                <w:sz w:val="20"/>
                <w:szCs w:val="20"/>
              </w:rPr>
              <w:t>How does one know an individual is expected to work for free?</w:t>
            </w:r>
          </w:p>
        </w:tc>
        <w:tc>
          <w:tcPr>
            <w:tcW w:w="5414" w:type="dxa"/>
            <w:tcMar>
              <w:top w:w="129" w:type="dxa"/>
              <w:left w:w="129" w:type="dxa"/>
              <w:bottom w:w="129" w:type="dxa"/>
              <w:right w:w="129" w:type="dxa"/>
            </w:tcMar>
          </w:tcPr>
          <w:p w14:paraId="7EAC5142" w14:textId="77777777" w:rsidR="00F46F8A" w:rsidRPr="00601E58" w:rsidRDefault="00F46F8A" w:rsidP="00F46F8A">
            <w:pPr>
              <w:pStyle w:val="ListParagraph"/>
              <w:numPr>
                <w:ilvl w:val="0"/>
                <w:numId w:val="9"/>
              </w:numPr>
              <w:spacing w:after="0" w:line="240" w:lineRule="auto"/>
              <w:rPr>
                <w:sz w:val="20"/>
                <w:szCs w:val="20"/>
              </w:rPr>
            </w:pPr>
            <w:r w:rsidRPr="00601E58">
              <w:rPr>
                <w:sz w:val="20"/>
                <w:szCs w:val="20"/>
              </w:rPr>
              <w:t>The named collaborator on a grant is identified on the award letter. The PI can confirm if the individual is a named collaborator.</w:t>
            </w:r>
          </w:p>
          <w:p w14:paraId="02A213BE" w14:textId="77777777" w:rsidR="00F46F8A" w:rsidRDefault="00F46F8A" w:rsidP="00F46F8A">
            <w:pPr>
              <w:widowControl w:val="0"/>
              <w:pBdr>
                <w:top w:val="nil"/>
                <w:left w:val="nil"/>
                <w:bottom w:val="nil"/>
                <w:right w:val="nil"/>
                <w:between w:val="nil"/>
              </w:pBdr>
              <w:spacing w:after="0"/>
              <w:rPr>
                <w:rFonts w:ascii="Trebuchet MS" w:eastAsia="Trebuchet MS" w:hAnsi="Trebuchet MS" w:cs="Trebuchet MS"/>
                <w:color w:val="434343"/>
              </w:rPr>
            </w:pPr>
          </w:p>
        </w:tc>
      </w:tr>
      <w:tr w:rsidR="00F46F8A" w14:paraId="48235CCA" w14:textId="77777777" w:rsidTr="00274EAC">
        <w:tc>
          <w:tcPr>
            <w:tcW w:w="1936" w:type="dxa"/>
            <w:tcMar>
              <w:top w:w="129" w:type="dxa"/>
              <w:left w:w="129" w:type="dxa"/>
              <w:bottom w:w="129" w:type="dxa"/>
              <w:right w:w="129" w:type="dxa"/>
            </w:tcMar>
            <w:vAlign w:val="center"/>
          </w:tcPr>
          <w:p w14:paraId="799D6CEC" w14:textId="7BFE0596" w:rsidR="00F46F8A" w:rsidRDefault="00F46F8A" w:rsidP="00F46F8A">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Employment and Compensation</w:t>
            </w:r>
          </w:p>
        </w:tc>
        <w:tc>
          <w:tcPr>
            <w:tcW w:w="2610" w:type="dxa"/>
            <w:tcMar>
              <w:top w:w="129" w:type="dxa"/>
              <w:left w:w="129" w:type="dxa"/>
              <w:bottom w:w="129" w:type="dxa"/>
              <w:right w:w="129" w:type="dxa"/>
            </w:tcMar>
          </w:tcPr>
          <w:p w14:paraId="5B293EBB" w14:textId="77777777" w:rsidR="00F46F8A" w:rsidRPr="00601E58" w:rsidRDefault="00F46F8A" w:rsidP="00F46F8A">
            <w:pPr>
              <w:pStyle w:val="ListParagraph"/>
              <w:numPr>
                <w:ilvl w:val="0"/>
                <w:numId w:val="10"/>
              </w:numPr>
              <w:spacing w:after="0" w:line="240" w:lineRule="auto"/>
              <w:rPr>
                <w:sz w:val="20"/>
                <w:szCs w:val="20"/>
              </w:rPr>
            </w:pPr>
            <w:r w:rsidRPr="00601E58">
              <w:rPr>
                <w:sz w:val="20"/>
                <w:szCs w:val="20"/>
              </w:rPr>
              <w:t>Will Department Managers have access to information like who are the listed collaborators on the grant documentation?</w:t>
            </w:r>
          </w:p>
          <w:p w14:paraId="276889B7" w14:textId="77777777" w:rsidR="00F46F8A" w:rsidRDefault="00F46F8A" w:rsidP="00F46F8A">
            <w:pPr>
              <w:widowControl w:val="0"/>
              <w:pBdr>
                <w:top w:val="nil"/>
                <w:left w:val="nil"/>
                <w:bottom w:val="nil"/>
                <w:right w:val="nil"/>
                <w:between w:val="nil"/>
              </w:pBdr>
              <w:spacing w:after="0"/>
              <w:rPr>
                <w:rFonts w:ascii="Trebuchet MS" w:eastAsia="Trebuchet MS" w:hAnsi="Trebuchet MS" w:cs="Trebuchet MS"/>
                <w:color w:val="434343"/>
              </w:rPr>
            </w:pPr>
          </w:p>
        </w:tc>
        <w:tc>
          <w:tcPr>
            <w:tcW w:w="5414" w:type="dxa"/>
            <w:tcMar>
              <w:top w:w="129" w:type="dxa"/>
              <w:left w:w="129" w:type="dxa"/>
              <w:bottom w:w="129" w:type="dxa"/>
              <w:right w:w="129" w:type="dxa"/>
            </w:tcMar>
          </w:tcPr>
          <w:p w14:paraId="585873DC" w14:textId="77777777" w:rsidR="00F46F8A" w:rsidRPr="00601E58" w:rsidRDefault="00F46F8A" w:rsidP="00F46F8A">
            <w:pPr>
              <w:pStyle w:val="ListParagraph"/>
              <w:numPr>
                <w:ilvl w:val="0"/>
                <w:numId w:val="9"/>
              </w:numPr>
              <w:spacing w:after="0" w:line="240" w:lineRule="auto"/>
              <w:rPr>
                <w:sz w:val="20"/>
                <w:szCs w:val="20"/>
              </w:rPr>
            </w:pPr>
            <w:r w:rsidRPr="00601E58">
              <w:rPr>
                <w:sz w:val="20"/>
                <w:szCs w:val="20"/>
              </w:rPr>
              <w:t>The copy of the award letter will list the named collaborators, and co-applicants on the grant. The PI will have this information, or you can ask ors@sfu.ca for a copy of the Award Letter if you cannot locate it.</w:t>
            </w:r>
          </w:p>
          <w:p w14:paraId="707809F8" w14:textId="77777777" w:rsidR="00F46F8A" w:rsidRDefault="00F46F8A" w:rsidP="00F46F8A">
            <w:pPr>
              <w:widowControl w:val="0"/>
              <w:pBdr>
                <w:top w:val="nil"/>
                <w:left w:val="nil"/>
                <w:bottom w:val="nil"/>
                <w:right w:val="nil"/>
                <w:between w:val="nil"/>
              </w:pBdr>
              <w:spacing w:after="0"/>
              <w:rPr>
                <w:rFonts w:ascii="Trebuchet MS" w:eastAsia="Trebuchet MS" w:hAnsi="Trebuchet MS" w:cs="Trebuchet MS"/>
                <w:color w:val="434343"/>
              </w:rPr>
            </w:pPr>
          </w:p>
        </w:tc>
      </w:tr>
      <w:tr w:rsidR="00F46F8A" w14:paraId="776E1963" w14:textId="77777777" w:rsidTr="00274EAC">
        <w:tc>
          <w:tcPr>
            <w:tcW w:w="1936" w:type="dxa"/>
            <w:tcMar>
              <w:top w:w="129" w:type="dxa"/>
              <w:left w:w="129" w:type="dxa"/>
              <w:bottom w:w="129" w:type="dxa"/>
              <w:right w:w="129" w:type="dxa"/>
            </w:tcMar>
            <w:vAlign w:val="center"/>
          </w:tcPr>
          <w:p w14:paraId="71823175" w14:textId="09199ED4" w:rsidR="00F46F8A" w:rsidRDefault="00F46F8A" w:rsidP="00F46F8A">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Travel and Travel-Related</w:t>
            </w:r>
          </w:p>
        </w:tc>
        <w:tc>
          <w:tcPr>
            <w:tcW w:w="2610" w:type="dxa"/>
            <w:tcMar>
              <w:top w:w="129" w:type="dxa"/>
              <w:left w:w="129" w:type="dxa"/>
              <w:bottom w:w="129" w:type="dxa"/>
              <w:right w:w="129" w:type="dxa"/>
            </w:tcMar>
          </w:tcPr>
          <w:p w14:paraId="2AB03DF5" w14:textId="36EEE59C" w:rsidR="00F46F8A" w:rsidRPr="00295346" w:rsidRDefault="00F46F8A" w:rsidP="00295346">
            <w:pPr>
              <w:pStyle w:val="ListParagraph"/>
              <w:numPr>
                <w:ilvl w:val="0"/>
                <w:numId w:val="10"/>
              </w:numPr>
              <w:pBdr>
                <w:top w:val="nil"/>
                <w:left w:val="nil"/>
                <w:bottom w:val="nil"/>
                <w:right w:val="nil"/>
                <w:between w:val="nil"/>
              </w:pBdr>
              <w:spacing w:after="0" w:line="240" w:lineRule="auto"/>
              <w:rPr>
                <w:sz w:val="20"/>
                <w:szCs w:val="20"/>
              </w:rPr>
            </w:pPr>
            <w:r w:rsidRPr="00D60059">
              <w:rPr>
                <w:sz w:val="20"/>
                <w:szCs w:val="20"/>
              </w:rPr>
              <w:t xml:space="preserve">“Grantee flies to L.A. to discuss research results with an out of town member of the project team”  - is supporting documentation required for this? </w:t>
            </w:r>
          </w:p>
        </w:tc>
        <w:tc>
          <w:tcPr>
            <w:tcW w:w="5414" w:type="dxa"/>
            <w:tcMar>
              <w:top w:w="129" w:type="dxa"/>
              <w:left w:w="129" w:type="dxa"/>
              <w:bottom w:w="129" w:type="dxa"/>
              <w:right w:w="129" w:type="dxa"/>
            </w:tcMar>
          </w:tcPr>
          <w:p w14:paraId="05EB6D2A" w14:textId="77777777" w:rsidR="00F46F8A" w:rsidRPr="00D60059" w:rsidRDefault="00F46F8A" w:rsidP="00F46F8A">
            <w:pPr>
              <w:pStyle w:val="ListParagraph"/>
              <w:numPr>
                <w:ilvl w:val="0"/>
                <w:numId w:val="11"/>
              </w:numPr>
              <w:spacing w:after="0" w:line="240" w:lineRule="auto"/>
              <w:rPr>
                <w:sz w:val="20"/>
                <w:szCs w:val="20"/>
              </w:rPr>
            </w:pPr>
            <w:r w:rsidRPr="00D60059">
              <w:rPr>
                <w:sz w:val="20"/>
                <w:szCs w:val="20"/>
              </w:rPr>
              <w:t xml:space="preserve">The requirement for supporting documentation </w:t>
            </w:r>
            <w:r w:rsidRPr="00D60059">
              <w:rPr>
                <w:b/>
                <w:i/>
                <w:sz w:val="20"/>
                <w:szCs w:val="20"/>
              </w:rPr>
              <w:t>does not</w:t>
            </w:r>
            <w:r w:rsidRPr="00D60059">
              <w:rPr>
                <w:sz w:val="20"/>
                <w:szCs w:val="20"/>
              </w:rPr>
              <w:t xml:space="preserve"> change. </w:t>
            </w:r>
            <w:r w:rsidRPr="00D60059">
              <w:rPr>
                <w:sz w:val="20"/>
                <w:szCs w:val="20"/>
              </w:rPr>
              <w:br/>
            </w:r>
          </w:p>
          <w:p w14:paraId="33C78F6B" w14:textId="77777777" w:rsidR="00F46F8A" w:rsidRPr="00D60059" w:rsidRDefault="00F46F8A" w:rsidP="00F46F8A">
            <w:pPr>
              <w:pStyle w:val="ListParagraph"/>
              <w:numPr>
                <w:ilvl w:val="0"/>
                <w:numId w:val="11"/>
              </w:numPr>
              <w:spacing w:after="0" w:line="240" w:lineRule="auto"/>
              <w:rPr>
                <w:sz w:val="20"/>
                <w:szCs w:val="20"/>
              </w:rPr>
            </w:pPr>
            <w:r w:rsidRPr="00D60059">
              <w:rPr>
                <w:sz w:val="20"/>
                <w:szCs w:val="20"/>
              </w:rPr>
              <w:t xml:space="preserve">This is also an </w:t>
            </w:r>
            <w:r w:rsidRPr="00D60059">
              <w:rPr>
                <w:b/>
                <w:sz w:val="20"/>
                <w:szCs w:val="20"/>
              </w:rPr>
              <w:t>SFU policy</w:t>
            </w:r>
            <w:r w:rsidRPr="00D60059">
              <w:rPr>
                <w:sz w:val="20"/>
                <w:szCs w:val="20"/>
              </w:rPr>
              <w:t xml:space="preserve"> requirement, as all expenses charged to a University administered account need to have a verifiable audit trail.</w:t>
            </w:r>
          </w:p>
          <w:p w14:paraId="46459B92" w14:textId="77777777" w:rsidR="00F46F8A" w:rsidRDefault="00F46F8A" w:rsidP="00F46F8A">
            <w:pPr>
              <w:widowControl w:val="0"/>
              <w:pBdr>
                <w:top w:val="nil"/>
                <w:left w:val="nil"/>
                <w:bottom w:val="nil"/>
                <w:right w:val="nil"/>
                <w:between w:val="nil"/>
              </w:pBdr>
              <w:spacing w:after="0"/>
              <w:rPr>
                <w:rFonts w:ascii="Trebuchet MS" w:eastAsia="Trebuchet MS" w:hAnsi="Trebuchet MS" w:cs="Trebuchet MS"/>
                <w:color w:val="434343"/>
              </w:rPr>
            </w:pPr>
          </w:p>
        </w:tc>
      </w:tr>
      <w:tr w:rsidR="00295346" w14:paraId="0000926A" w14:textId="77777777" w:rsidTr="00274EAC">
        <w:tc>
          <w:tcPr>
            <w:tcW w:w="1936" w:type="dxa"/>
            <w:shd w:val="clear" w:color="auto" w:fill="auto"/>
            <w:tcMar>
              <w:top w:w="129" w:type="dxa"/>
              <w:left w:w="129" w:type="dxa"/>
              <w:bottom w:w="129" w:type="dxa"/>
              <w:right w:w="129" w:type="dxa"/>
            </w:tcMar>
          </w:tcPr>
          <w:p w14:paraId="632755A3" w14:textId="2811BA7A" w:rsidR="00295346" w:rsidRDefault="00590B6B" w:rsidP="00295346">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lastRenderedPageBreak/>
              <w:t>Travel and Travel-Related</w:t>
            </w:r>
          </w:p>
        </w:tc>
        <w:tc>
          <w:tcPr>
            <w:tcW w:w="2610" w:type="dxa"/>
            <w:tcMar>
              <w:top w:w="129" w:type="dxa"/>
              <w:left w:w="129" w:type="dxa"/>
              <w:bottom w:w="129" w:type="dxa"/>
              <w:right w:w="129" w:type="dxa"/>
            </w:tcMar>
          </w:tcPr>
          <w:p w14:paraId="4445901A" w14:textId="77777777" w:rsidR="00295346" w:rsidRPr="00D60059" w:rsidRDefault="00295346" w:rsidP="00295346">
            <w:pPr>
              <w:pStyle w:val="ListParagraph"/>
              <w:numPr>
                <w:ilvl w:val="0"/>
                <w:numId w:val="10"/>
              </w:numPr>
              <w:spacing w:after="0" w:line="240" w:lineRule="auto"/>
              <w:rPr>
                <w:sz w:val="20"/>
                <w:szCs w:val="20"/>
              </w:rPr>
            </w:pPr>
            <w:r w:rsidRPr="00D60059">
              <w:rPr>
                <w:sz w:val="20"/>
                <w:szCs w:val="20"/>
              </w:rPr>
              <w:t>Are recruiting related costs</w:t>
            </w:r>
            <w:r>
              <w:rPr>
                <w:sz w:val="20"/>
                <w:szCs w:val="20"/>
              </w:rPr>
              <w:t xml:space="preserve"> such as travel/hospitality for </w:t>
            </w:r>
            <w:r w:rsidRPr="00D60059">
              <w:rPr>
                <w:sz w:val="20"/>
                <w:szCs w:val="20"/>
              </w:rPr>
              <w:t>gra</w:t>
            </w:r>
            <w:r>
              <w:rPr>
                <w:sz w:val="20"/>
                <w:szCs w:val="20"/>
              </w:rPr>
              <w:t>d student or research personnel</w:t>
            </w:r>
            <w:r w:rsidRPr="00D60059">
              <w:rPr>
                <w:sz w:val="20"/>
                <w:szCs w:val="20"/>
              </w:rPr>
              <w:t xml:space="preserve"> eligible? </w:t>
            </w:r>
          </w:p>
          <w:p w14:paraId="770D4B6B" w14:textId="77777777" w:rsidR="00295346" w:rsidRDefault="00295346" w:rsidP="00295346">
            <w:pPr>
              <w:widowControl w:val="0"/>
              <w:pBdr>
                <w:top w:val="nil"/>
                <w:left w:val="nil"/>
                <w:bottom w:val="nil"/>
                <w:right w:val="nil"/>
                <w:between w:val="nil"/>
              </w:pBdr>
              <w:spacing w:after="0"/>
              <w:rPr>
                <w:rFonts w:ascii="Trebuchet MS" w:eastAsia="Trebuchet MS" w:hAnsi="Trebuchet MS" w:cs="Trebuchet MS"/>
                <w:color w:val="434343"/>
              </w:rPr>
            </w:pPr>
          </w:p>
        </w:tc>
        <w:tc>
          <w:tcPr>
            <w:tcW w:w="5414" w:type="dxa"/>
            <w:tcMar>
              <w:top w:w="129" w:type="dxa"/>
              <w:left w:w="129" w:type="dxa"/>
              <w:bottom w:w="129" w:type="dxa"/>
              <w:right w:w="129" w:type="dxa"/>
            </w:tcMar>
          </w:tcPr>
          <w:p w14:paraId="04C730C7" w14:textId="252ED290" w:rsidR="00590B6B" w:rsidRPr="00590B6B" w:rsidRDefault="00295346" w:rsidP="00590B6B">
            <w:pPr>
              <w:pStyle w:val="ListParagraph"/>
              <w:numPr>
                <w:ilvl w:val="0"/>
                <w:numId w:val="11"/>
              </w:numPr>
              <w:spacing w:after="0" w:line="240" w:lineRule="auto"/>
              <w:rPr>
                <w:rFonts w:ascii="Trebuchet MS" w:eastAsia="Trebuchet MS" w:hAnsi="Trebuchet MS" w:cs="Trebuchet MS"/>
                <w:color w:val="434343"/>
              </w:rPr>
            </w:pPr>
            <w:r w:rsidRPr="00D60059">
              <w:rPr>
                <w:sz w:val="20"/>
                <w:szCs w:val="20"/>
              </w:rPr>
              <w:t xml:space="preserve">The eligibility of recruiting costs such as travel or hospitality are assessed using the 4 Principles, applicable Directive, SFU Policies and any applicable Program Literature. The Principle to keep in mind for Hospitality is </w:t>
            </w:r>
            <w:r w:rsidRPr="007311EA">
              <w:rPr>
                <w:sz w:val="20"/>
                <w:szCs w:val="20"/>
              </w:rPr>
              <w:t>“Effective and Economical”.</w:t>
            </w:r>
            <w:r w:rsidRPr="00D60059">
              <w:rPr>
                <w:sz w:val="20"/>
                <w:szCs w:val="20"/>
              </w:rPr>
              <w:t xml:space="preserve"> You would assess hospitality expense as “</w:t>
            </w:r>
            <w:r w:rsidRPr="007311EA">
              <w:rPr>
                <w:sz w:val="20"/>
                <w:szCs w:val="20"/>
              </w:rPr>
              <w:t>does the expense achieve the intended outcome with due regard for minimizing cost by avoiding unnecessary expense”.</w:t>
            </w:r>
            <w:r w:rsidRPr="00D60059">
              <w:rPr>
                <w:sz w:val="20"/>
                <w:szCs w:val="20"/>
              </w:rPr>
              <w:t xml:space="preserve"> </w:t>
            </w:r>
            <w:r w:rsidR="00590B6B">
              <w:rPr>
                <w:sz w:val="20"/>
                <w:szCs w:val="20"/>
              </w:rPr>
              <w:br/>
            </w:r>
          </w:p>
          <w:p w14:paraId="541335B7" w14:textId="363AB1E3" w:rsidR="00295346" w:rsidRDefault="00295346" w:rsidP="00590B6B">
            <w:pPr>
              <w:pStyle w:val="ListParagraph"/>
              <w:numPr>
                <w:ilvl w:val="0"/>
                <w:numId w:val="11"/>
              </w:numPr>
              <w:spacing w:after="0" w:line="240" w:lineRule="auto"/>
              <w:rPr>
                <w:rFonts w:ascii="Trebuchet MS" w:eastAsia="Trebuchet MS" w:hAnsi="Trebuchet MS" w:cs="Trebuchet MS"/>
                <w:color w:val="434343"/>
              </w:rPr>
            </w:pPr>
            <w:r w:rsidRPr="00590B6B">
              <w:rPr>
                <w:sz w:val="20"/>
                <w:szCs w:val="20"/>
              </w:rPr>
              <w:t>Question to be asked is “could the assessment of the candidate been achieved in a meeting at the office or could it only have been achieved at a restaurant over dinner?”</w:t>
            </w:r>
            <w:r w:rsidRPr="00590B6B">
              <w:rPr>
                <w:sz w:val="20"/>
                <w:szCs w:val="20"/>
              </w:rPr>
              <w:br/>
            </w:r>
          </w:p>
        </w:tc>
      </w:tr>
      <w:tr w:rsidR="00590B6B" w14:paraId="7CDFCB9C" w14:textId="77777777" w:rsidTr="00274EAC">
        <w:tc>
          <w:tcPr>
            <w:tcW w:w="1936" w:type="dxa"/>
            <w:shd w:val="clear" w:color="auto" w:fill="auto"/>
            <w:tcMar>
              <w:top w:w="129" w:type="dxa"/>
              <w:left w:w="129" w:type="dxa"/>
              <w:bottom w:w="129" w:type="dxa"/>
              <w:right w:w="129" w:type="dxa"/>
            </w:tcMar>
          </w:tcPr>
          <w:p w14:paraId="761875A9" w14:textId="5FBF383F" w:rsidR="00590B6B" w:rsidRDefault="00590B6B" w:rsidP="00590B6B">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Travel and Travel-Related</w:t>
            </w:r>
          </w:p>
        </w:tc>
        <w:tc>
          <w:tcPr>
            <w:tcW w:w="2610" w:type="dxa"/>
            <w:tcMar>
              <w:top w:w="129" w:type="dxa"/>
              <w:left w:w="129" w:type="dxa"/>
              <w:bottom w:w="129" w:type="dxa"/>
              <w:right w:w="129" w:type="dxa"/>
            </w:tcMar>
          </w:tcPr>
          <w:p w14:paraId="2366C038" w14:textId="02C57A31" w:rsidR="00590B6B" w:rsidRDefault="00590B6B" w:rsidP="00590B6B">
            <w:pPr>
              <w:widowControl w:val="0"/>
              <w:pBdr>
                <w:top w:val="nil"/>
                <w:left w:val="nil"/>
                <w:bottom w:val="nil"/>
                <w:right w:val="nil"/>
                <w:between w:val="nil"/>
              </w:pBdr>
              <w:spacing w:after="0"/>
              <w:rPr>
                <w:rFonts w:ascii="Trebuchet MS" w:eastAsia="Trebuchet MS" w:hAnsi="Trebuchet MS" w:cs="Trebuchet MS"/>
                <w:color w:val="434343"/>
              </w:rPr>
            </w:pPr>
            <w:r w:rsidRPr="00D60059">
              <w:rPr>
                <w:sz w:val="20"/>
                <w:szCs w:val="20"/>
              </w:rPr>
              <w:t>Do we still collect all boarding passes as supporting documents for travel?</w:t>
            </w:r>
          </w:p>
        </w:tc>
        <w:tc>
          <w:tcPr>
            <w:tcW w:w="5414" w:type="dxa"/>
            <w:tcMar>
              <w:top w:w="129" w:type="dxa"/>
              <w:left w:w="129" w:type="dxa"/>
              <w:bottom w:w="129" w:type="dxa"/>
              <w:right w:w="129" w:type="dxa"/>
            </w:tcMar>
          </w:tcPr>
          <w:p w14:paraId="6CED6E6F" w14:textId="3CBFA753" w:rsidR="00590B6B" w:rsidRPr="00D60059" w:rsidRDefault="00590B6B" w:rsidP="00590B6B">
            <w:pPr>
              <w:pStyle w:val="ListParagraph"/>
              <w:numPr>
                <w:ilvl w:val="0"/>
                <w:numId w:val="12"/>
              </w:numPr>
              <w:spacing w:after="0" w:line="240" w:lineRule="auto"/>
              <w:rPr>
                <w:sz w:val="20"/>
                <w:szCs w:val="20"/>
              </w:rPr>
            </w:pPr>
            <w:r w:rsidRPr="00D60059">
              <w:rPr>
                <w:sz w:val="20"/>
                <w:szCs w:val="20"/>
              </w:rPr>
              <w:t xml:space="preserve">Supporting documentation for proof of travel is required. If boarding passes were not collected, then other documents such as a hotel invoice and airline travel ticket itinerary/payment information, or image of boarding pass from traveler’s phone would need to be attached to the claim. </w:t>
            </w:r>
            <w:r>
              <w:rPr>
                <w:sz w:val="20"/>
                <w:szCs w:val="20"/>
              </w:rPr>
              <w:br/>
            </w:r>
          </w:p>
          <w:p w14:paraId="37E8E682" w14:textId="6BB280D9" w:rsidR="00590B6B" w:rsidRDefault="00590B6B" w:rsidP="00590B6B">
            <w:pPr>
              <w:pStyle w:val="ListParagraph"/>
              <w:numPr>
                <w:ilvl w:val="0"/>
                <w:numId w:val="12"/>
              </w:numPr>
              <w:pBdr>
                <w:top w:val="nil"/>
                <w:left w:val="nil"/>
                <w:bottom w:val="nil"/>
                <w:right w:val="nil"/>
                <w:between w:val="nil"/>
              </w:pBdr>
              <w:spacing w:after="0" w:line="240" w:lineRule="auto"/>
              <w:rPr>
                <w:rFonts w:ascii="Trebuchet MS" w:eastAsia="Trebuchet MS" w:hAnsi="Trebuchet MS" w:cs="Trebuchet MS"/>
                <w:color w:val="434343"/>
              </w:rPr>
            </w:pPr>
            <w:r w:rsidRPr="00D60059">
              <w:rPr>
                <w:sz w:val="20"/>
                <w:szCs w:val="20"/>
              </w:rPr>
              <w:t>If there were no boarding passes provided, then the traveler would also have to provide a statement to that effect.</w:t>
            </w:r>
            <w:r w:rsidRPr="00D60059">
              <w:rPr>
                <w:sz w:val="20"/>
                <w:szCs w:val="20"/>
              </w:rPr>
              <w:br/>
            </w:r>
          </w:p>
        </w:tc>
      </w:tr>
      <w:tr w:rsidR="00682B40" w14:paraId="7DB79DF8" w14:textId="77777777" w:rsidTr="00274EAC">
        <w:tc>
          <w:tcPr>
            <w:tcW w:w="1936" w:type="dxa"/>
            <w:shd w:val="clear" w:color="auto" w:fill="auto"/>
            <w:tcMar>
              <w:top w:w="129" w:type="dxa"/>
              <w:left w:w="129" w:type="dxa"/>
              <w:bottom w:w="129" w:type="dxa"/>
              <w:right w:w="129" w:type="dxa"/>
            </w:tcMar>
          </w:tcPr>
          <w:p w14:paraId="30931D54" w14:textId="3BB185EF" w:rsidR="00682B40" w:rsidRDefault="00682B40" w:rsidP="00682B40">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Travel and Travel-Related</w:t>
            </w:r>
          </w:p>
        </w:tc>
        <w:tc>
          <w:tcPr>
            <w:tcW w:w="2610" w:type="dxa"/>
            <w:tcMar>
              <w:top w:w="129" w:type="dxa"/>
              <w:left w:w="129" w:type="dxa"/>
              <w:bottom w:w="129" w:type="dxa"/>
              <w:right w:w="129" w:type="dxa"/>
            </w:tcMar>
          </w:tcPr>
          <w:p w14:paraId="16D8EA86" w14:textId="6FCEBA02" w:rsidR="00682B40" w:rsidRDefault="00682B40" w:rsidP="00682B40">
            <w:pPr>
              <w:widowControl w:val="0"/>
              <w:pBdr>
                <w:top w:val="nil"/>
                <w:left w:val="nil"/>
                <w:bottom w:val="nil"/>
                <w:right w:val="nil"/>
                <w:between w:val="nil"/>
              </w:pBdr>
              <w:spacing w:after="0"/>
              <w:rPr>
                <w:rFonts w:ascii="Trebuchet MS" w:eastAsia="Trebuchet MS" w:hAnsi="Trebuchet MS" w:cs="Trebuchet MS"/>
                <w:color w:val="434343"/>
              </w:rPr>
            </w:pPr>
            <w:r>
              <w:rPr>
                <w:sz w:val="20"/>
                <w:szCs w:val="20"/>
              </w:rPr>
              <w:t>Can an individual claim mileage when using a friend or other family member’s vehicle?</w:t>
            </w:r>
          </w:p>
        </w:tc>
        <w:tc>
          <w:tcPr>
            <w:tcW w:w="5414" w:type="dxa"/>
            <w:tcMar>
              <w:top w:w="129" w:type="dxa"/>
              <w:left w:w="129" w:type="dxa"/>
              <w:bottom w:w="129" w:type="dxa"/>
              <w:right w:w="129" w:type="dxa"/>
            </w:tcMar>
          </w:tcPr>
          <w:p w14:paraId="68C2DD81" w14:textId="64AD0956" w:rsidR="00682B40" w:rsidRPr="007311EA" w:rsidRDefault="00682B40" w:rsidP="00682B40">
            <w:pPr>
              <w:pStyle w:val="ListParagraph"/>
              <w:numPr>
                <w:ilvl w:val="0"/>
                <w:numId w:val="12"/>
              </w:numPr>
              <w:spacing w:after="0" w:line="240" w:lineRule="auto"/>
              <w:rPr>
                <w:sz w:val="20"/>
                <w:szCs w:val="20"/>
              </w:rPr>
            </w:pPr>
            <w:r w:rsidRPr="00D60059">
              <w:rPr>
                <w:sz w:val="20"/>
                <w:szCs w:val="20"/>
              </w:rPr>
              <w:t xml:space="preserve">In the same context that rental vehicles may be used to save time and reduce costs (not as a matter of personal convenience), the use of someone’s car can be considered more economical than rental. </w:t>
            </w:r>
            <w:r>
              <w:rPr>
                <w:sz w:val="20"/>
                <w:szCs w:val="20"/>
              </w:rPr>
              <w:br/>
            </w:r>
          </w:p>
          <w:p w14:paraId="16B88498" w14:textId="77777777" w:rsidR="00682B40" w:rsidRPr="007311EA" w:rsidRDefault="00682B40" w:rsidP="00682B40">
            <w:pPr>
              <w:pStyle w:val="ListParagraph"/>
              <w:numPr>
                <w:ilvl w:val="0"/>
                <w:numId w:val="12"/>
              </w:numPr>
              <w:spacing w:after="0" w:line="240" w:lineRule="auto"/>
              <w:rPr>
                <w:sz w:val="20"/>
                <w:szCs w:val="20"/>
              </w:rPr>
            </w:pPr>
            <w:r w:rsidRPr="00D60059">
              <w:rPr>
                <w:sz w:val="20"/>
                <w:szCs w:val="20"/>
              </w:rPr>
              <w:t xml:space="preserve">The lender or owner of the vehicle, but not the user, can claim the mileage costs. The claimant, or PI in this case, needs to remember that </w:t>
            </w:r>
            <w:r w:rsidRPr="007311EA">
              <w:rPr>
                <w:sz w:val="20"/>
                <w:szCs w:val="20"/>
              </w:rPr>
              <w:t>expenses claimed for reimbursement are to cover their own out of pocket expenses not others.</w:t>
            </w:r>
          </w:p>
          <w:p w14:paraId="1AA9C357" w14:textId="77777777" w:rsidR="00682B40" w:rsidRDefault="00682B40" w:rsidP="00682B40">
            <w:pPr>
              <w:widowControl w:val="0"/>
              <w:pBdr>
                <w:top w:val="nil"/>
                <w:left w:val="nil"/>
                <w:bottom w:val="nil"/>
                <w:right w:val="nil"/>
                <w:between w:val="nil"/>
              </w:pBdr>
              <w:spacing w:after="0"/>
              <w:rPr>
                <w:rFonts w:ascii="Trebuchet MS" w:eastAsia="Trebuchet MS" w:hAnsi="Trebuchet MS" w:cs="Trebuchet MS"/>
                <w:color w:val="434343"/>
              </w:rPr>
            </w:pPr>
          </w:p>
        </w:tc>
      </w:tr>
      <w:tr w:rsidR="00682B40" w14:paraId="6C648754" w14:textId="77777777" w:rsidTr="00274EAC">
        <w:tc>
          <w:tcPr>
            <w:tcW w:w="1936" w:type="dxa"/>
            <w:shd w:val="clear" w:color="auto" w:fill="auto"/>
            <w:tcMar>
              <w:top w:w="129" w:type="dxa"/>
              <w:left w:w="129" w:type="dxa"/>
              <w:bottom w:w="129" w:type="dxa"/>
              <w:right w:w="129" w:type="dxa"/>
            </w:tcMar>
          </w:tcPr>
          <w:p w14:paraId="08342A3C" w14:textId="077E0E98" w:rsidR="00682B40" w:rsidRDefault="00682B40" w:rsidP="00682B40">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Travel and Travel-Related</w:t>
            </w:r>
          </w:p>
        </w:tc>
        <w:tc>
          <w:tcPr>
            <w:tcW w:w="2610" w:type="dxa"/>
            <w:tcMar>
              <w:top w:w="129" w:type="dxa"/>
              <w:left w:w="129" w:type="dxa"/>
              <w:bottom w:w="129" w:type="dxa"/>
              <w:right w:w="129" w:type="dxa"/>
            </w:tcMar>
          </w:tcPr>
          <w:p w14:paraId="5444EC14" w14:textId="139F07EE" w:rsidR="00682B40" w:rsidRDefault="00682B40" w:rsidP="00682B40">
            <w:pPr>
              <w:widowControl w:val="0"/>
              <w:pBdr>
                <w:top w:val="nil"/>
                <w:left w:val="nil"/>
                <w:bottom w:val="nil"/>
                <w:right w:val="nil"/>
                <w:between w:val="nil"/>
              </w:pBdr>
              <w:spacing w:after="0"/>
              <w:rPr>
                <w:rFonts w:ascii="Trebuchet MS" w:eastAsia="Trebuchet MS" w:hAnsi="Trebuchet MS" w:cs="Trebuchet MS"/>
                <w:color w:val="434343"/>
              </w:rPr>
            </w:pPr>
            <w:r w:rsidRPr="007311EA">
              <w:rPr>
                <w:sz w:val="20"/>
                <w:szCs w:val="20"/>
              </w:rPr>
              <w:t xml:space="preserve">Can one claim for airport hotels for </w:t>
            </w:r>
            <w:r>
              <w:rPr>
                <w:sz w:val="20"/>
                <w:szCs w:val="20"/>
              </w:rPr>
              <w:t>early flights out of YVR</w:t>
            </w:r>
            <w:r w:rsidRPr="007311EA">
              <w:rPr>
                <w:sz w:val="20"/>
                <w:szCs w:val="20"/>
              </w:rPr>
              <w:t>?</w:t>
            </w:r>
          </w:p>
        </w:tc>
        <w:tc>
          <w:tcPr>
            <w:tcW w:w="5414" w:type="dxa"/>
            <w:tcMar>
              <w:top w:w="129" w:type="dxa"/>
              <w:left w:w="129" w:type="dxa"/>
              <w:bottom w:w="129" w:type="dxa"/>
              <w:right w:w="129" w:type="dxa"/>
            </w:tcMar>
          </w:tcPr>
          <w:p w14:paraId="56FFF4B3" w14:textId="77777777" w:rsidR="00682B40" w:rsidRPr="00D60059" w:rsidRDefault="00682B40" w:rsidP="00682B40">
            <w:pPr>
              <w:pStyle w:val="ListParagraph"/>
              <w:numPr>
                <w:ilvl w:val="0"/>
                <w:numId w:val="13"/>
              </w:numPr>
              <w:spacing w:after="0" w:line="240" w:lineRule="auto"/>
              <w:rPr>
                <w:sz w:val="20"/>
                <w:szCs w:val="20"/>
              </w:rPr>
            </w:pPr>
            <w:r w:rsidRPr="00D60059">
              <w:rPr>
                <w:sz w:val="20"/>
                <w:szCs w:val="20"/>
              </w:rPr>
              <w:t>SFU Policy and Procedure AD 3.02 Business and Travel Expenses section 4.2 would apply:</w:t>
            </w:r>
            <w:r w:rsidRPr="00D60059">
              <w:rPr>
                <w:sz w:val="20"/>
                <w:szCs w:val="20"/>
              </w:rPr>
              <w:br/>
            </w:r>
          </w:p>
          <w:p w14:paraId="7321A284" w14:textId="4944EDC2" w:rsidR="00682B40" w:rsidRDefault="00682B40" w:rsidP="00682B40">
            <w:pPr>
              <w:widowControl w:val="0"/>
              <w:pBdr>
                <w:top w:val="nil"/>
                <w:left w:val="nil"/>
                <w:bottom w:val="nil"/>
                <w:right w:val="nil"/>
                <w:between w:val="nil"/>
              </w:pBdr>
              <w:spacing w:after="0"/>
              <w:ind w:left="360"/>
              <w:rPr>
                <w:rFonts w:ascii="Trebuchet MS" w:eastAsia="Trebuchet MS" w:hAnsi="Trebuchet MS" w:cs="Trebuchet MS"/>
                <w:color w:val="434343"/>
              </w:rPr>
            </w:pPr>
            <w:r w:rsidRPr="00D60059">
              <w:rPr>
                <w:sz w:val="20"/>
                <w:szCs w:val="20"/>
              </w:rPr>
              <w:t xml:space="preserve">“Lower Mainland accommodation within a 32 km radius of </w:t>
            </w:r>
            <w:r w:rsidRPr="00D60059">
              <w:rPr>
                <w:sz w:val="20"/>
                <w:szCs w:val="20"/>
              </w:rPr>
              <w:lastRenderedPageBreak/>
              <w:t xml:space="preserve">the employees’ usual place of work is not reimbursable, </w:t>
            </w:r>
            <w:r w:rsidRPr="00072A14">
              <w:rPr>
                <w:b/>
                <w:i/>
                <w:sz w:val="20"/>
                <w:szCs w:val="20"/>
              </w:rPr>
              <w:t>unless approved</w:t>
            </w:r>
            <w:r w:rsidRPr="00D60059">
              <w:rPr>
                <w:sz w:val="20"/>
                <w:szCs w:val="20"/>
              </w:rPr>
              <w:t xml:space="preserve"> by the President, a Vice-President, or an Associate Vice President, and (in the case of externally funded projects) the external sponsor.</w:t>
            </w:r>
          </w:p>
        </w:tc>
      </w:tr>
      <w:tr w:rsidR="00682B40" w14:paraId="191B9E32" w14:textId="77777777" w:rsidTr="00274EAC">
        <w:tc>
          <w:tcPr>
            <w:tcW w:w="1936" w:type="dxa"/>
            <w:shd w:val="clear" w:color="auto" w:fill="auto"/>
            <w:tcMar>
              <w:top w:w="129" w:type="dxa"/>
              <w:left w:w="129" w:type="dxa"/>
              <w:bottom w:w="129" w:type="dxa"/>
              <w:right w:w="129" w:type="dxa"/>
            </w:tcMar>
          </w:tcPr>
          <w:p w14:paraId="5B5038B7" w14:textId="73AF3781" w:rsidR="00682B40" w:rsidRDefault="00713C0C" w:rsidP="00682B40">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lastRenderedPageBreak/>
              <w:t>Hospitality</w:t>
            </w:r>
          </w:p>
        </w:tc>
        <w:tc>
          <w:tcPr>
            <w:tcW w:w="2610" w:type="dxa"/>
            <w:tcMar>
              <w:top w:w="129" w:type="dxa"/>
              <w:left w:w="129" w:type="dxa"/>
              <w:bottom w:w="129" w:type="dxa"/>
              <w:right w:w="129" w:type="dxa"/>
            </w:tcMar>
          </w:tcPr>
          <w:p w14:paraId="2437E169" w14:textId="77777777" w:rsidR="00682B40" w:rsidRPr="00D60059" w:rsidRDefault="00682B40" w:rsidP="00682B40">
            <w:pPr>
              <w:pStyle w:val="ListParagraph"/>
              <w:numPr>
                <w:ilvl w:val="0"/>
                <w:numId w:val="14"/>
              </w:numPr>
              <w:spacing w:after="0" w:line="240" w:lineRule="auto"/>
              <w:rPr>
                <w:sz w:val="20"/>
                <w:szCs w:val="20"/>
              </w:rPr>
            </w:pPr>
            <w:r w:rsidRPr="00D60059">
              <w:rPr>
                <w:sz w:val="20"/>
                <w:szCs w:val="20"/>
              </w:rPr>
              <w:t xml:space="preserve">Is there a guideline about an indicative maximum or cap for hospitality costs within research grants? </w:t>
            </w:r>
          </w:p>
          <w:p w14:paraId="2F9CB7B9" w14:textId="1848AA11" w:rsidR="00682B40" w:rsidRDefault="00682B40" w:rsidP="00682B40">
            <w:pPr>
              <w:widowControl w:val="0"/>
              <w:pBdr>
                <w:top w:val="nil"/>
                <w:left w:val="nil"/>
                <w:bottom w:val="nil"/>
                <w:right w:val="nil"/>
                <w:between w:val="nil"/>
              </w:pBdr>
              <w:spacing w:after="0"/>
              <w:rPr>
                <w:rFonts w:ascii="Trebuchet MS" w:eastAsia="Trebuchet MS" w:hAnsi="Trebuchet MS" w:cs="Trebuchet MS"/>
                <w:color w:val="434343"/>
              </w:rPr>
            </w:pPr>
          </w:p>
        </w:tc>
        <w:tc>
          <w:tcPr>
            <w:tcW w:w="5414" w:type="dxa"/>
            <w:tcMar>
              <w:top w:w="129" w:type="dxa"/>
              <w:left w:w="129" w:type="dxa"/>
              <w:bottom w:w="129" w:type="dxa"/>
              <w:right w:w="129" w:type="dxa"/>
            </w:tcMar>
          </w:tcPr>
          <w:p w14:paraId="3CFE00CA" w14:textId="549EAAF9" w:rsidR="00682B40" w:rsidRPr="00DB6953" w:rsidRDefault="00682B40" w:rsidP="00682B40">
            <w:pPr>
              <w:pStyle w:val="ListParagraph"/>
              <w:numPr>
                <w:ilvl w:val="0"/>
                <w:numId w:val="13"/>
              </w:numPr>
              <w:spacing w:after="0" w:line="240" w:lineRule="auto"/>
              <w:rPr>
                <w:sz w:val="20"/>
                <w:szCs w:val="20"/>
              </w:rPr>
            </w:pPr>
            <w:r w:rsidRPr="00072A14">
              <w:rPr>
                <w:sz w:val="20"/>
                <w:szCs w:val="20"/>
              </w:rPr>
              <w:t xml:space="preserve">SFU Policy and Procedure AD 3.02 Business and Travel Expenses specifies the maximum normal amount for hosting expenses. </w:t>
            </w:r>
            <w:r w:rsidRPr="00072A14">
              <w:rPr>
                <w:b/>
                <w:i/>
                <w:sz w:val="20"/>
                <w:szCs w:val="20"/>
              </w:rPr>
              <w:t>In addition,</w:t>
            </w:r>
            <w:r w:rsidRPr="00072A14">
              <w:rPr>
                <w:sz w:val="20"/>
                <w:szCs w:val="20"/>
              </w:rPr>
              <w:t xml:space="preserve"> you would have to consider the principle of effective and e</w:t>
            </w:r>
            <w:r>
              <w:rPr>
                <w:sz w:val="20"/>
                <w:szCs w:val="20"/>
              </w:rPr>
              <w:t>conomical use of research funds together with the hospitality directive.</w:t>
            </w:r>
          </w:p>
          <w:p w14:paraId="2A40F59F" w14:textId="77777777" w:rsidR="00682B40" w:rsidRDefault="00682B40" w:rsidP="00682B40">
            <w:pPr>
              <w:widowControl w:val="0"/>
              <w:pBdr>
                <w:top w:val="nil"/>
                <w:left w:val="nil"/>
                <w:bottom w:val="nil"/>
                <w:right w:val="nil"/>
                <w:between w:val="nil"/>
              </w:pBdr>
              <w:spacing w:after="0"/>
              <w:rPr>
                <w:rFonts w:ascii="Trebuchet MS" w:eastAsia="Trebuchet MS" w:hAnsi="Trebuchet MS" w:cs="Trebuchet MS"/>
                <w:color w:val="434343"/>
              </w:rPr>
            </w:pPr>
          </w:p>
        </w:tc>
      </w:tr>
      <w:tr w:rsidR="00713C0C" w14:paraId="27D592B1" w14:textId="77777777" w:rsidTr="00274EAC">
        <w:tc>
          <w:tcPr>
            <w:tcW w:w="1936" w:type="dxa"/>
            <w:tcMar>
              <w:top w:w="129" w:type="dxa"/>
              <w:left w:w="129" w:type="dxa"/>
              <w:bottom w:w="129" w:type="dxa"/>
              <w:right w:w="129" w:type="dxa"/>
            </w:tcMar>
          </w:tcPr>
          <w:p w14:paraId="539097F0" w14:textId="200643B0" w:rsidR="00713C0C" w:rsidRDefault="00713C0C" w:rsidP="00713C0C">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Gifts, Honoraria and Incentives</w:t>
            </w:r>
          </w:p>
        </w:tc>
        <w:tc>
          <w:tcPr>
            <w:tcW w:w="2610" w:type="dxa"/>
            <w:tcMar>
              <w:top w:w="129" w:type="dxa"/>
              <w:left w:w="129" w:type="dxa"/>
              <w:bottom w:w="129" w:type="dxa"/>
              <w:right w:w="129" w:type="dxa"/>
            </w:tcMar>
          </w:tcPr>
          <w:p w14:paraId="6D21BFBB" w14:textId="75BC60CE" w:rsidR="00713C0C" w:rsidRPr="00713C0C" w:rsidRDefault="00713C0C" w:rsidP="00713C0C">
            <w:pPr>
              <w:pStyle w:val="ListParagraph"/>
              <w:numPr>
                <w:ilvl w:val="0"/>
                <w:numId w:val="14"/>
              </w:numPr>
              <w:pBdr>
                <w:top w:val="nil"/>
                <w:left w:val="nil"/>
                <w:bottom w:val="nil"/>
                <w:right w:val="nil"/>
                <w:between w:val="nil"/>
              </w:pBdr>
              <w:spacing w:after="0" w:line="240" w:lineRule="auto"/>
              <w:rPr>
                <w:sz w:val="20"/>
                <w:szCs w:val="20"/>
              </w:rPr>
            </w:pPr>
            <w:r w:rsidRPr="00072A14">
              <w:rPr>
                <w:sz w:val="20"/>
                <w:szCs w:val="20"/>
              </w:rPr>
              <w:t xml:space="preserve">Do honoraria also require </w:t>
            </w:r>
            <w:r>
              <w:rPr>
                <w:sz w:val="20"/>
                <w:szCs w:val="20"/>
              </w:rPr>
              <w:t>Research Ethics Board (</w:t>
            </w:r>
            <w:r w:rsidRPr="00072A14">
              <w:rPr>
                <w:sz w:val="20"/>
                <w:szCs w:val="20"/>
              </w:rPr>
              <w:t>REB</w:t>
            </w:r>
            <w:r>
              <w:rPr>
                <w:sz w:val="20"/>
                <w:szCs w:val="20"/>
              </w:rPr>
              <w:t>)</w:t>
            </w:r>
            <w:r w:rsidRPr="00072A14">
              <w:rPr>
                <w:sz w:val="20"/>
                <w:szCs w:val="20"/>
              </w:rPr>
              <w:t xml:space="preserve"> approval?</w:t>
            </w:r>
          </w:p>
        </w:tc>
        <w:tc>
          <w:tcPr>
            <w:tcW w:w="5414" w:type="dxa"/>
            <w:tcMar>
              <w:top w:w="129" w:type="dxa"/>
              <w:left w:w="129" w:type="dxa"/>
              <w:bottom w:w="129" w:type="dxa"/>
              <w:right w:w="129" w:type="dxa"/>
            </w:tcMar>
          </w:tcPr>
          <w:p w14:paraId="56DABA51" w14:textId="77777777" w:rsidR="00713C0C" w:rsidRPr="00072A14" w:rsidRDefault="00713C0C" w:rsidP="00713C0C">
            <w:pPr>
              <w:pStyle w:val="ListParagraph"/>
              <w:numPr>
                <w:ilvl w:val="0"/>
                <w:numId w:val="15"/>
              </w:numPr>
              <w:spacing w:after="0" w:line="240" w:lineRule="auto"/>
              <w:rPr>
                <w:b/>
                <w:i/>
                <w:sz w:val="20"/>
                <w:szCs w:val="20"/>
              </w:rPr>
            </w:pPr>
            <w:r w:rsidRPr="00072A14">
              <w:rPr>
                <w:b/>
                <w:sz w:val="20"/>
                <w:szCs w:val="20"/>
              </w:rPr>
              <w:t>This depends</w:t>
            </w:r>
            <w:r w:rsidRPr="00072A14">
              <w:rPr>
                <w:sz w:val="20"/>
                <w:szCs w:val="20"/>
              </w:rPr>
              <w:t xml:space="preserve">. </w:t>
            </w:r>
            <w:r>
              <w:rPr>
                <w:sz w:val="20"/>
                <w:szCs w:val="20"/>
              </w:rPr>
              <w:br/>
            </w:r>
            <w:r w:rsidRPr="00072A14">
              <w:rPr>
                <w:sz w:val="20"/>
                <w:szCs w:val="20"/>
              </w:rPr>
              <w:t xml:space="preserve">Many individuals use the term “honoraria” for payments to individuals as incentive payments.  Honoraria payments are meant to be one-time payments.  If the question pertains to using honoraria cash payments as incentive to participate or having participated in a research study </w:t>
            </w:r>
            <w:r w:rsidRPr="00072A14">
              <w:rPr>
                <w:b/>
                <w:i/>
                <w:sz w:val="20"/>
                <w:szCs w:val="20"/>
              </w:rPr>
              <w:t>then yes, they would require REB approval.</w:t>
            </w:r>
          </w:p>
          <w:p w14:paraId="42C55834" w14:textId="77777777" w:rsidR="00713C0C" w:rsidRDefault="00713C0C" w:rsidP="00713C0C">
            <w:pPr>
              <w:widowControl w:val="0"/>
              <w:pBdr>
                <w:top w:val="nil"/>
                <w:left w:val="nil"/>
                <w:bottom w:val="nil"/>
                <w:right w:val="nil"/>
                <w:between w:val="nil"/>
              </w:pBdr>
              <w:spacing w:after="0"/>
              <w:rPr>
                <w:rFonts w:ascii="Trebuchet MS" w:eastAsia="Trebuchet MS" w:hAnsi="Trebuchet MS" w:cs="Trebuchet MS"/>
                <w:color w:val="434343"/>
              </w:rPr>
            </w:pPr>
          </w:p>
        </w:tc>
      </w:tr>
      <w:tr w:rsidR="00713C0C" w14:paraId="1C77C4EC" w14:textId="77777777" w:rsidTr="00274EAC">
        <w:tc>
          <w:tcPr>
            <w:tcW w:w="1936" w:type="dxa"/>
            <w:shd w:val="clear" w:color="auto" w:fill="auto"/>
            <w:tcMar>
              <w:top w:w="129" w:type="dxa"/>
              <w:left w:w="129" w:type="dxa"/>
              <w:bottom w:w="129" w:type="dxa"/>
              <w:right w:w="129" w:type="dxa"/>
            </w:tcMar>
          </w:tcPr>
          <w:p w14:paraId="476954EF" w14:textId="6160C74A" w:rsidR="00713C0C" w:rsidRDefault="00713C0C" w:rsidP="00713C0C">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Gifts, Honoraria and Incentives</w:t>
            </w:r>
          </w:p>
        </w:tc>
        <w:tc>
          <w:tcPr>
            <w:tcW w:w="2610" w:type="dxa"/>
            <w:tcMar>
              <w:top w:w="129" w:type="dxa"/>
              <w:left w:w="129" w:type="dxa"/>
              <w:bottom w:w="129" w:type="dxa"/>
              <w:right w:w="129" w:type="dxa"/>
            </w:tcMar>
          </w:tcPr>
          <w:p w14:paraId="2EEC3D5A" w14:textId="1C5B17BB" w:rsidR="00713C0C" w:rsidRPr="00713C0C" w:rsidRDefault="00713C0C" w:rsidP="00713C0C">
            <w:pPr>
              <w:pStyle w:val="ListParagraph"/>
              <w:numPr>
                <w:ilvl w:val="0"/>
                <w:numId w:val="14"/>
              </w:numPr>
              <w:pBdr>
                <w:top w:val="nil"/>
                <w:left w:val="nil"/>
                <w:bottom w:val="nil"/>
                <w:right w:val="nil"/>
                <w:between w:val="nil"/>
              </w:pBdr>
              <w:spacing w:after="0" w:line="240" w:lineRule="auto"/>
              <w:rPr>
                <w:sz w:val="20"/>
                <w:szCs w:val="20"/>
              </w:rPr>
            </w:pPr>
            <w:r w:rsidRPr="00072A14">
              <w:rPr>
                <w:sz w:val="20"/>
                <w:szCs w:val="20"/>
              </w:rPr>
              <w:t>Is it better to give a gift card or money to participants in research?</w:t>
            </w:r>
          </w:p>
        </w:tc>
        <w:tc>
          <w:tcPr>
            <w:tcW w:w="5414" w:type="dxa"/>
            <w:tcMar>
              <w:top w:w="129" w:type="dxa"/>
              <w:left w:w="129" w:type="dxa"/>
              <w:bottom w:w="129" w:type="dxa"/>
              <w:right w:w="129" w:type="dxa"/>
            </w:tcMar>
          </w:tcPr>
          <w:p w14:paraId="37FA6815" w14:textId="6DAA25A4" w:rsidR="00713C0C" w:rsidRDefault="00713C0C" w:rsidP="00713C0C">
            <w:pPr>
              <w:pStyle w:val="ListParagraph"/>
              <w:numPr>
                <w:ilvl w:val="0"/>
                <w:numId w:val="13"/>
              </w:numPr>
              <w:pBdr>
                <w:top w:val="nil"/>
                <w:left w:val="nil"/>
                <w:bottom w:val="nil"/>
                <w:right w:val="nil"/>
                <w:between w:val="nil"/>
              </w:pBdr>
              <w:spacing w:after="0" w:line="240" w:lineRule="auto"/>
              <w:rPr>
                <w:rFonts w:ascii="Trebuchet MS" w:eastAsia="Trebuchet MS" w:hAnsi="Trebuchet MS" w:cs="Trebuchet MS"/>
                <w:color w:val="434343"/>
              </w:rPr>
            </w:pPr>
            <w:r w:rsidRPr="00180FFB">
              <w:rPr>
                <w:sz w:val="20"/>
                <w:szCs w:val="20"/>
              </w:rPr>
              <w:t xml:space="preserve">There is no right or wrong answer here, as both type of payment and value of payment to research study participants, as incentives, require approval from the Research Ethics Board. </w:t>
            </w:r>
            <w:r>
              <w:rPr>
                <w:sz w:val="20"/>
                <w:szCs w:val="20"/>
              </w:rPr>
              <w:br/>
            </w:r>
          </w:p>
        </w:tc>
      </w:tr>
      <w:tr w:rsidR="00713C0C" w14:paraId="1902D520" w14:textId="77777777" w:rsidTr="00274EAC">
        <w:tc>
          <w:tcPr>
            <w:tcW w:w="1936" w:type="dxa"/>
            <w:shd w:val="clear" w:color="auto" w:fill="auto"/>
            <w:tcMar>
              <w:top w:w="129" w:type="dxa"/>
              <w:left w:w="129" w:type="dxa"/>
              <w:bottom w:w="129" w:type="dxa"/>
              <w:right w:w="129" w:type="dxa"/>
            </w:tcMar>
          </w:tcPr>
          <w:p w14:paraId="39CA5CAA" w14:textId="24C1824B" w:rsidR="00713C0C" w:rsidRDefault="00713C0C" w:rsidP="00713C0C">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Gifts, Honoraria and Incentives</w:t>
            </w:r>
          </w:p>
        </w:tc>
        <w:tc>
          <w:tcPr>
            <w:tcW w:w="2610" w:type="dxa"/>
            <w:tcMar>
              <w:top w:w="129" w:type="dxa"/>
              <w:left w:w="129" w:type="dxa"/>
              <w:bottom w:w="129" w:type="dxa"/>
              <w:right w:w="129" w:type="dxa"/>
            </w:tcMar>
          </w:tcPr>
          <w:p w14:paraId="2351B1D0" w14:textId="3372F413" w:rsidR="00713C0C" w:rsidRPr="00713C0C" w:rsidRDefault="00713C0C" w:rsidP="00713C0C">
            <w:pPr>
              <w:pStyle w:val="ListParagraph"/>
              <w:numPr>
                <w:ilvl w:val="0"/>
                <w:numId w:val="14"/>
              </w:numPr>
              <w:pBdr>
                <w:top w:val="nil"/>
                <w:left w:val="nil"/>
                <w:bottom w:val="nil"/>
                <w:right w:val="nil"/>
                <w:between w:val="nil"/>
              </w:pBdr>
              <w:spacing w:after="0" w:line="240" w:lineRule="auto"/>
              <w:rPr>
                <w:sz w:val="20"/>
                <w:szCs w:val="20"/>
              </w:rPr>
            </w:pPr>
            <w:r>
              <w:rPr>
                <w:sz w:val="20"/>
                <w:szCs w:val="20"/>
              </w:rPr>
              <w:t xml:space="preserve">Can </w:t>
            </w:r>
            <w:r w:rsidRPr="007311EA">
              <w:rPr>
                <w:sz w:val="20"/>
                <w:szCs w:val="20"/>
              </w:rPr>
              <w:t>“An honorarium for a local artist invited to prepare a piece of artwork for display at a conference be considered eligible?</w:t>
            </w:r>
            <w:r>
              <w:rPr>
                <w:sz w:val="20"/>
                <w:szCs w:val="20"/>
              </w:rPr>
              <w:br/>
            </w:r>
          </w:p>
        </w:tc>
        <w:tc>
          <w:tcPr>
            <w:tcW w:w="5414" w:type="dxa"/>
            <w:tcMar>
              <w:top w:w="129" w:type="dxa"/>
              <w:left w:w="129" w:type="dxa"/>
              <w:bottom w:w="129" w:type="dxa"/>
              <w:right w:w="129" w:type="dxa"/>
            </w:tcMar>
          </w:tcPr>
          <w:p w14:paraId="101F3A0E" w14:textId="5C0A3B2B" w:rsidR="00713C0C" w:rsidRDefault="00713C0C" w:rsidP="00713C0C">
            <w:pPr>
              <w:pStyle w:val="ListParagraph"/>
              <w:numPr>
                <w:ilvl w:val="0"/>
                <w:numId w:val="13"/>
              </w:numPr>
              <w:pBdr>
                <w:top w:val="nil"/>
                <w:left w:val="nil"/>
                <w:bottom w:val="nil"/>
                <w:right w:val="nil"/>
                <w:between w:val="nil"/>
              </w:pBdr>
              <w:spacing w:after="0" w:line="240" w:lineRule="auto"/>
              <w:rPr>
                <w:rFonts w:ascii="Trebuchet MS" w:eastAsia="Trebuchet MS" w:hAnsi="Trebuchet MS" w:cs="Trebuchet MS"/>
                <w:color w:val="434343"/>
              </w:rPr>
            </w:pPr>
            <w:r w:rsidRPr="00D60059">
              <w:rPr>
                <w:sz w:val="20"/>
                <w:szCs w:val="20"/>
              </w:rPr>
              <w:t xml:space="preserve">The key word here is </w:t>
            </w:r>
            <w:r w:rsidRPr="00713C0C">
              <w:rPr>
                <w:sz w:val="20"/>
                <w:szCs w:val="20"/>
              </w:rPr>
              <w:t>display.</w:t>
            </w:r>
            <w:r w:rsidRPr="00D60059">
              <w:rPr>
                <w:sz w:val="20"/>
                <w:szCs w:val="20"/>
              </w:rPr>
              <w:t xml:space="preserve"> The principle of direct cost of research would need to be satisfied.  The question is: </w:t>
            </w:r>
            <w:r w:rsidRPr="00713C0C">
              <w:rPr>
                <w:sz w:val="20"/>
                <w:szCs w:val="20"/>
              </w:rPr>
              <w:t>“How does a piece of artwork on display at a conference benefit the research program directly?”</w:t>
            </w:r>
          </w:p>
        </w:tc>
      </w:tr>
      <w:tr w:rsidR="00713C0C" w14:paraId="0A0DF1C5" w14:textId="77777777" w:rsidTr="00274EAC">
        <w:tc>
          <w:tcPr>
            <w:tcW w:w="1936" w:type="dxa"/>
            <w:shd w:val="clear" w:color="auto" w:fill="auto"/>
            <w:tcMar>
              <w:top w:w="129" w:type="dxa"/>
              <w:left w:w="129" w:type="dxa"/>
              <w:bottom w:w="129" w:type="dxa"/>
              <w:right w:w="129" w:type="dxa"/>
            </w:tcMar>
          </w:tcPr>
          <w:p w14:paraId="1CB6DC48" w14:textId="34ECC785" w:rsidR="00713C0C" w:rsidRDefault="00713C0C" w:rsidP="00713C0C">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Gifts, Honoraria and Incentives</w:t>
            </w:r>
          </w:p>
        </w:tc>
        <w:tc>
          <w:tcPr>
            <w:tcW w:w="2610" w:type="dxa"/>
            <w:tcMar>
              <w:top w:w="129" w:type="dxa"/>
              <w:left w:w="129" w:type="dxa"/>
              <w:bottom w:w="129" w:type="dxa"/>
              <w:right w:w="129" w:type="dxa"/>
            </w:tcMar>
          </w:tcPr>
          <w:p w14:paraId="2E2D7DB7" w14:textId="69D86DAF" w:rsidR="00713C0C" w:rsidRPr="00713C0C" w:rsidRDefault="00713C0C" w:rsidP="00713C0C">
            <w:pPr>
              <w:pStyle w:val="ListParagraph"/>
              <w:numPr>
                <w:ilvl w:val="0"/>
                <w:numId w:val="14"/>
              </w:numPr>
              <w:pBdr>
                <w:top w:val="nil"/>
                <w:left w:val="nil"/>
                <w:bottom w:val="nil"/>
                <w:right w:val="nil"/>
                <w:between w:val="nil"/>
              </w:pBdr>
              <w:spacing w:after="0" w:line="240" w:lineRule="auto"/>
              <w:rPr>
                <w:sz w:val="20"/>
                <w:szCs w:val="20"/>
              </w:rPr>
            </w:pPr>
            <w:r w:rsidRPr="00D60059">
              <w:rPr>
                <w:sz w:val="20"/>
                <w:szCs w:val="20"/>
              </w:rPr>
              <w:t>Do we need proof of Ethics approval for gifts and incentives to participants in research?</w:t>
            </w:r>
            <w:r>
              <w:rPr>
                <w:sz w:val="20"/>
                <w:szCs w:val="20"/>
              </w:rPr>
              <w:br/>
            </w:r>
          </w:p>
        </w:tc>
        <w:tc>
          <w:tcPr>
            <w:tcW w:w="5414" w:type="dxa"/>
            <w:tcMar>
              <w:top w:w="129" w:type="dxa"/>
              <w:left w:w="129" w:type="dxa"/>
              <w:bottom w:w="129" w:type="dxa"/>
              <w:right w:w="129" w:type="dxa"/>
            </w:tcMar>
          </w:tcPr>
          <w:p w14:paraId="223C9ADE" w14:textId="2EF4CFDB" w:rsidR="00713C0C" w:rsidRDefault="00713C0C" w:rsidP="00713C0C">
            <w:pPr>
              <w:pStyle w:val="ListParagraph"/>
              <w:numPr>
                <w:ilvl w:val="0"/>
                <w:numId w:val="13"/>
              </w:numPr>
              <w:pBdr>
                <w:top w:val="nil"/>
                <w:left w:val="nil"/>
                <w:bottom w:val="nil"/>
                <w:right w:val="nil"/>
                <w:between w:val="nil"/>
              </w:pBdr>
              <w:spacing w:after="0" w:line="240" w:lineRule="auto"/>
              <w:rPr>
                <w:rFonts w:ascii="Trebuchet MS" w:eastAsia="Trebuchet MS" w:hAnsi="Trebuchet MS" w:cs="Trebuchet MS"/>
                <w:color w:val="434343"/>
              </w:rPr>
            </w:pPr>
            <w:r w:rsidRPr="00180FFB">
              <w:rPr>
                <w:sz w:val="20"/>
                <w:szCs w:val="20"/>
              </w:rPr>
              <w:t xml:space="preserve">As long as the PI makes the statement that they have the REB approval that is sufficient. </w:t>
            </w:r>
            <w:r>
              <w:rPr>
                <w:sz w:val="20"/>
                <w:szCs w:val="20"/>
              </w:rPr>
              <w:t>The REB</w:t>
            </w:r>
            <w:r w:rsidRPr="00180FFB">
              <w:rPr>
                <w:sz w:val="20"/>
                <w:szCs w:val="20"/>
              </w:rPr>
              <w:t xml:space="preserve"> number </w:t>
            </w:r>
            <w:r>
              <w:rPr>
                <w:sz w:val="20"/>
                <w:szCs w:val="20"/>
              </w:rPr>
              <w:t>can be tracked if needed.</w:t>
            </w:r>
          </w:p>
        </w:tc>
      </w:tr>
      <w:tr w:rsidR="00713C0C" w14:paraId="52D90A2D" w14:textId="77777777" w:rsidTr="00274EAC">
        <w:tc>
          <w:tcPr>
            <w:tcW w:w="1936" w:type="dxa"/>
            <w:shd w:val="clear" w:color="auto" w:fill="auto"/>
            <w:tcMar>
              <w:top w:w="129" w:type="dxa"/>
              <w:left w:w="129" w:type="dxa"/>
              <w:bottom w:w="129" w:type="dxa"/>
              <w:right w:w="129" w:type="dxa"/>
            </w:tcMar>
          </w:tcPr>
          <w:p w14:paraId="05639BA2" w14:textId="42750173" w:rsidR="00713C0C" w:rsidRDefault="00B90EBD" w:rsidP="00713C0C">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lastRenderedPageBreak/>
              <w:t>General questions</w:t>
            </w:r>
          </w:p>
        </w:tc>
        <w:tc>
          <w:tcPr>
            <w:tcW w:w="2610" w:type="dxa"/>
            <w:shd w:val="clear" w:color="auto" w:fill="auto"/>
            <w:tcMar>
              <w:top w:w="129" w:type="dxa"/>
              <w:left w:w="129" w:type="dxa"/>
              <w:bottom w:w="129" w:type="dxa"/>
              <w:right w:w="129" w:type="dxa"/>
            </w:tcMar>
          </w:tcPr>
          <w:p w14:paraId="59565829" w14:textId="7C81A169" w:rsidR="00713C0C" w:rsidRPr="00713C0C" w:rsidRDefault="00B90EBD" w:rsidP="00713C0C">
            <w:pPr>
              <w:pStyle w:val="ListParagraph"/>
              <w:numPr>
                <w:ilvl w:val="0"/>
                <w:numId w:val="14"/>
              </w:numPr>
              <w:pBdr>
                <w:top w:val="nil"/>
                <w:left w:val="nil"/>
                <w:bottom w:val="nil"/>
                <w:right w:val="nil"/>
                <w:between w:val="nil"/>
              </w:pBdr>
              <w:spacing w:after="0" w:line="240" w:lineRule="auto"/>
              <w:rPr>
                <w:sz w:val="20"/>
                <w:szCs w:val="20"/>
              </w:rPr>
            </w:pPr>
            <w:r w:rsidRPr="00A4414B">
              <w:rPr>
                <w:sz w:val="20"/>
                <w:szCs w:val="20"/>
              </w:rPr>
              <w:t>Are the specific line item budgets from the proposal/award require to be strictly followed?</w:t>
            </w:r>
          </w:p>
        </w:tc>
        <w:tc>
          <w:tcPr>
            <w:tcW w:w="5414" w:type="dxa"/>
            <w:shd w:val="clear" w:color="auto" w:fill="auto"/>
            <w:tcMar>
              <w:top w:w="129" w:type="dxa"/>
              <w:left w:w="129" w:type="dxa"/>
              <w:bottom w:w="129" w:type="dxa"/>
              <w:right w:w="129" w:type="dxa"/>
            </w:tcMar>
          </w:tcPr>
          <w:p w14:paraId="0BDF8DE8" w14:textId="77777777" w:rsidR="00B90EBD" w:rsidRPr="00CA30AD" w:rsidRDefault="00B90EBD" w:rsidP="00B90EBD">
            <w:pPr>
              <w:pStyle w:val="ListParagraph"/>
              <w:numPr>
                <w:ilvl w:val="0"/>
                <w:numId w:val="15"/>
              </w:numPr>
              <w:rPr>
                <w:sz w:val="20"/>
                <w:szCs w:val="20"/>
              </w:rPr>
            </w:pPr>
            <w:r w:rsidRPr="00180FFB">
              <w:rPr>
                <w:sz w:val="20"/>
                <w:szCs w:val="20"/>
              </w:rPr>
              <w:t xml:space="preserve">Any expenditure charged to a project is required to go through eligibility review. (Ideally, the researcher uses the 4 principles </w:t>
            </w:r>
            <w:r w:rsidRPr="00D60059">
              <w:rPr>
                <w:sz w:val="20"/>
                <w:szCs w:val="20"/>
              </w:rPr>
              <w:t xml:space="preserve">and adheres to the sponsor’s specifications before deciding to make the expense to avoid delays later). </w:t>
            </w:r>
            <w:r>
              <w:rPr>
                <w:sz w:val="20"/>
                <w:szCs w:val="20"/>
              </w:rPr>
              <w:br/>
            </w:r>
            <w:r w:rsidRPr="00D60059">
              <w:rPr>
                <w:sz w:val="20"/>
                <w:szCs w:val="20"/>
              </w:rPr>
              <w:t xml:space="preserve">There are certain funding programs that require budget spending according to approved line items.  These programs require prior approval if the grantee needs to deviate from a line item.  </w:t>
            </w:r>
          </w:p>
          <w:p w14:paraId="1A53B46E" w14:textId="77777777" w:rsidR="00B90EBD" w:rsidRPr="00CA30AD" w:rsidRDefault="00B90EBD" w:rsidP="00B90EBD">
            <w:pPr>
              <w:pStyle w:val="ListParagraph"/>
              <w:numPr>
                <w:ilvl w:val="0"/>
                <w:numId w:val="15"/>
              </w:numPr>
              <w:rPr>
                <w:sz w:val="20"/>
                <w:szCs w:val="20"/>
              </w:rPr>
            </w:pPr>
            <w:r w:rsidRPr="00D60059">
              <w:rPr>
                <w:sz w:val="20"/>
                <w:szCs w:val="20"/>
              </w:rPr>
              <w:t>There is usually a 20% deviation factor, so anything greater than 20% will require prior approval for these programs.</w:t>
            </w:r>
          </w:p>
          <w:p w14:paraId="60811394" w14:textId="183DADD0" w:rsidR="00713C0C" w:rsidRDefault="00B90EBD" w:rsidP="00B90EBD">
            <w:pPr>
              <w:pStyle w:val="ListParagraph"/>
              <w:numPr>
                <w:ilvl w:val="0"/>
                <w:numId w:val="15"/>
              </w:numPr>
              <w:pBdr>
                <w:top w:val="nil"/>
                <w:left w:val="nil"/>
                <w:bottom w:val="nil"/>
                <w:right w:val="nil"/>
                <w:between w:val="nil"/>
              </w:pBdr>
              <w:rPr>
                <w:rFonts w:ascii="Trebuchet MS" w:eastAsia="Trebuchet MS" w:hAnsi="Trebuchet MS" w:cs="Trebuchet MS"/>
                <w:color w:val="434343"/>
              </w:rPr>
            </w:pPr>
            <w:r w:rsidRPr="00CA30AD">
              <w:rPr>
                <w:sz w:val="20"/>
                <w:szCs w:val="20"/>
              </w:rPr>
              <w:t>However, operating type of projects such as NSERC Discovery Grants or SSHRC Insight Grants do not have this requirement.</w:t>
            </w:r>
            <w:r w:rsidRPr="00D60059">
              <w:rPr>
                <w:sz w:val="20"/>
                <w:szCs w:val="20"/>
              </w:rPr>
              <w:t xml:space="preserve">  </w:t>
            </w:r>
            <w:r w:rsidRPr="00CA30AD">
              <w:rPr>
                <w:sz w:val="20"/>
                <w:szCs w:val="20"/>
              </w:rPr>
              <w:t>As long as the expenditure is for the broad purpose the funds were awarded, approval to deviate from the original budget is not required.</w:t>
            </w:r>
            <w:r w:rsidRPr="00D60059">
              <w:rPr>
                <w:sz w:val="20"/>
                <w:szCs w:val="20"/>
              </w:rPr>
              <w:t xml:space="preserve"> </w:t>
            </w:r>
            <w:r>
              <w:rPr>
                <w:sz w:val="20"/>
                <w:szCs w:val="20"/>
              </w:rPr>
              <w:br/>
            </w:r>
          </w:p>
        </w:tc>
      </w:tr>
      <w:tr w:rsidR="00713C0C" w14:paraId="6646AE0C" w14:textId="77777777" w:rsidTr="00274EAC">
        <w:tc>
          <w:tcPr>
            <w:tcW w:w="1936" w:type="dxa"/>
            <w:shd w:val="clear" w:color="auto" w:fill="auto"/>
            <w:tcMar>
              <w:top w:w="129" w:type="dxa"/>
              <w:left w:w="129" w:type="dxa"/>
              <w:bottom w:w="129" w:type="dxa"/>
              <w:right w:w="129" w:type="dxa"/>
            </w:tcMar>
          </w:tcPr>
          <w:p w14:paraId="190C8957" w14:textId="16CB636E" w:rsidR="00713C0C" w:rsidRDefault="000C158C" w:rsidP="00713C0C">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General questions</w:t>
            </w:r>
          </w:p>
        </w:tc>
        <w:tc>
          <w:tcPr>
            <w:tcW w:w="2610" w:type="dxa"/>
            <w:shd w:val="clear" w:color="auto" w:fill="auto"/>
            <w:tcMar>
              <w:top w:w="129" w:type="dxa"/>
              <w:left w:w="129" w:type="dxa"/>
              <w:bottom w:w="129" w:type="dxa"/>
              <w:right w:w="129" w:type="dxa"/>
            </w:tcMar>
          </w:tcPr>
          <w:p w14:paraId="10FD7E30" w14:textId="700D1CB1" w:rsidR="00713C0C" w:rsidRPr="00713C0C" w:rsidRDefault="00B90EBD" w:rsidP="00713C0C">
            <w:pPr>
              <w:pStyle w:val="ListParagraph"/>
              <w:numPr>
                <w:ilvl w:val="0"/>
                <w:numId w:val="14"/>
              </w:numPr>
              <w:pBdr>
                <w:top w:val="nil"/>
                <w:left w:val="nil"/>
                <w:bottom w:val="nil"/>
                <w:right w:val="nil"/>
                <w:between w:val="nil"/>
              </w:pBdr>
              <w:spacing w:after="0" w:line="240" w:lineRule="auto"/>
              <w:rPr>
                <w:sz w:val="20"/>
                <w:szCs w:val="20"/>
              </w:rPr>
            </w:pPr>
            <w:r w:rsidRPr="007311EA">
              <w:rPr>
                <w:sz w:val="20"/>
                <w:szCs w:val="20"/>
              </w:rPr>
              <w:t>Is the 20 % budget deviation monitored?</w:t>
            </w:r>
          </w:p>
        </w:tc>
        <w:tc>
          <w:tcPr>
            <w:tcW w:w="5414" w:type="dxa"/>
            <w:shd w:val="clear" w:color="auto" w:fill="auto"/>
            <w:tcMar>
              <w:top w:w="129" w:type="dxa"/>
              <w:left w:w="129" w:type="dxa"/>
              <w:bottom w:w="129" w:type="dxa"/>
              <w:right w:w="129" w:type="dxa"/>
            </w:tcMar>
          </w:tcPr>
          <w:p w14:paraId="43170114" w14:textId="77777777" w:rsidR="00B90EBD" w:rsidRDefault="00B90EBD" w:rsidP="00B90EBD">
            <w:pPr>
              <w:pStyle w:val="ListParagraph"/>
              <w:numPr>
                <w:ilvl w:val="0"/>
                <w:numId w:val="15"/>
              </w:numPr>
              <w:rPr>
                <w:sz w:val="20"/>
                <w:szCs w:val="20"/>
              </w:rPr>
            </w:pPr>
            <w:r w:rsidRPr="00D60059">
              <w:rPr>
                <w:sz w:val="20"/>
                <w:szCs w:val="20"/>
              </w:rPr>
              <w:t xml:space="preserve">Projects with line item spending constrains also have financial reporting requirements that track variances quarterly or semi-annually. </w:t>
            </w:r>
          </w:p>
          <w:p w14:paraId="67DEB806" w14:textId="64912E16" w:rsidR="00713C0C" w:rsidRDefault="00B90EBD" w:rsidP="00B90EBD">
            <w:pPr>
              <w:pStyle w:val="ListParagraph"/>
              <w:numPr>
                <w:ilvl w:val="0"/>
                <w:numId w:val="15"/>
              </w:numPr>
              <w:pBdr>
                <w:top w:val="nil"/>
                <w:left w:val="nil"/>
                <w:bottom w:val="nil"/>
                <w:right w:val="nil"/>
                <w:between w:val="nil"/>
              </w:pBdr>
              <w:rPr>
                <w:rFonts w:ascii="Trebuchet MS" w:eastAsia="Trebuchet MS" w:hAnsi="Trebuchet MS" w:cs="Trebuchet MS"/>
                <w:color w:val="434343"/>
              </w:rPr>
            </w:pPr>
            <w:r w:rsidRPr="00B90EBD">
              <w:rPr>
                <w:sz w:val="20"/>
                <w:szCs w:val="20"/>
              </w:rPr>
              <w:t>Grantees are aware</w:t>
            </w:r>
            <w:r w:rsidRPr="00D60059">
              <w:rPr>
                <w:sz w:val="20"/>
                <w:szCs w:val="20"/>
              </w:rPr>
              <w:t xml:space="preserve"> of the requirement they generally allocate their expenditures accordingly. These sponsors need to be formally contacted to approve any variance over 20% before the expense is incurred. </w:t>
            </w:r>
            <w:r>
              <w:rPr>
                <w:sz w:val="20"/>
                <w:szCs w:val="20"/>
              </w:rPr>
              <w:br/>
            </w:r>
          </w:p>
        </w:tc>
      </w:tr>
      <w:tr w:rsidR="000C158C" w14:paraId="1EF7C46B" w14:textId="77777777" w:rsidTr="00AD111A">
        <w:tc>
          <w:tcPr>
            <w:tcW w:w="1936" w:type="dxa"/>
            <w:shd w:val="clear" w:color="auto" w:fill="auto"/>
            <w:tcMar>
              <w:top w:w="129" w:type="dxa"/>
              <w:left w:w="129" w:type="dxa"/>
              <w:bottom w:w="129" w:type="dxa"/>
              <w:right w:w="129" w:type="dxa"/>
            </w:tcMar>
          </w:tcPr>
          <w:p w14:paraId="408FE377" w14:textId="2238BB19" w:rsidR="000C158C" w:rsidRDefault="000C158C" w:rsidP="000C158C">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General questions</w:t>
            </w:r>
          </w:p>
        </w:tc>
        <w:tc>
          <w:tcPr>
            <w:tcW w:w="2610" w:type="dxa"/>
            <w:tcMar>
              <w:top w:w="129" w:type="dxa"/>
              <w:left w:w="129" w:type="dxa"/>
              <w:bottom w:w="129" w:type="dxa"/>
              <w:right w:w="129" w:type="dxa"/>
            </w:tcMar>
          </w:tcPr>
          <w:p w14:paraId="6B1635A7" w14:textId="37205DA6" w:rsidR="000C158C" w:rsidRPr="000C158C" w:rsidRDefault="000C158C" w:rsidP="000C158C">
            <w:pPr>
              <w:pStyle w:val="ListParagraph"/>
              <w:numPr>
                <w:ilvl w:val="0"/>
                <w:numId w:val="14"/>
              </w:numPr>
              <w:pBdr>
                <w:top w:val="nil"/>
                <w:left w:val="nil"/>
                <w:bottom w:val="nil"/>
                <w:right w:val="nil"/>
                <w:between w:val="nil"/>
              </w:pBdr>
              <w:spacing w:after="0" w:line="240" w:lineRule="auto"/>
              <w:rPr>
                <w:sz w:val="20"/>
                <w:szCs w:val="20"/>
              </w:rPr>
            </w:pPr>
            <w:r w:rsidRPr="00D60059">
              <w:rPr>
                <w:sz w:val="20"/>
                <w:szCs w:val="20"/>
              </w:rPr>
              <w:t>How do Department approvers access Funding Opportunity/Program Literature?</w:t>
            </w:r>
          </w:p>
        </w:tc>
        <w:tc>
          <w:tcPr>
            <w:tcW w:w="5414" w:type="dxa"/>
            <w:tcMar>
              <w:top w:w="129" w:type="dxa"/>
              <w:left w:w="129" w:type="dxa"/>
              <w:bottom w:w="129" w:type="dxa"/>
              <w:right w:w="129" w:type="dxa"/>
            </w:tcMar>
          </w:tcPr>
          <w:p w14:paraId="6FB58730" w14:textId="77777777" w:rsidR="000C158C" w:rsidRDefault="000C158C" w:rsidP="000C158C">
            <w:pPr>
              <w:pStyle w:val="ListParagraph"/>
              <w:numPr>
                <w:ilvl w:val="0"/>
                <w:numId w:val="15"/>
              </w:numPr>
              <w:rPr>
                <w:sz w:val="20"/>
                <w:szCs w:val="20"/>
              </w:rPr>
            </w:pPr>
            <w:r w:rsidRPr="00D60059">
              <w:rPr>
                <w:sz w:val="20"/>
                <w:szCs w:val="20"/>
              </w:rPr>
              <w:t xml:space="preserve">The Tri-Agency website has information on their specific programs that you can access online. </w:t>
            </w:r>
          </w:p>
          <w:p w14:paraId="4E153750" w14:textId="22102D22" w:rsidR="000C158C" w:rsidRPr="000C158C" w:rsidRDefault="000C158C" w:rsidP="000C158C">
            <w:pPr>
              <w:pStyle w:val="ListParagraph"/>
              <w:numPr>
                <w:ilvl w:val="0"/>
                <w:numId w:val="15"/>
              </w:numPr>
              <w:pBdr>
                <w:top w:val="nil"/>
                <w:left w:val="nil"/>
                <w:bottom w:val="nil"/>
                <w:right w:val="nil"/>
                <w:between w:val="nil"/>
              </w:pBdr>
              <w:rPr>
                <w:sz w:val="20"/>
                <w:szCs w:val="20"/>
              </w:rPr>
            </w:pPr>
            <w:r w:rsidRPr="000C158C">
              <w:rPr>
                <w:sz w:val="20"/>
                <w:szCs w:val="20"/>
              </w:rPr>
              <w:t>You can also contact ors@sfu.ca to get assistance with program specific requirements.</w:t>
            </w:r>
            <w:r w:rsidRPr="000C158C">
              <w:rPr>
                <w:sz w:val="20"/>
                <w:szCs w:val="20"/>
              </w:rPr>
              <w:br/>
            </w:r>
          </w:p>
        </w:tc>
      </w:tr>
      <w:tr w:rsidR="000C158C" w14:paraId="7C128DF8" w14:textId="77777777" w:rsidTr="00B528DD">
        <w:tc>
          <w:tcPr>
            <w:tcW w:w="1936" w:type="dxa"/>
            <w:shd w:val="clear" w:color="auto" w:fill="auto"/>
            <w:tcMar>
              <w:top w:w="129" w:type="dxa"/>
              <w:left w:w="129" w:type="dxa"/>
              <w:bottom w:w="129" w:type="dxa"/>
              <w:right w:w="129" w:type="dxa"/>
            </w:tcMar>
          </w:tcPr>
          <w:p w14:paraId="213FE960" w14:textId="2664459D" w:rsidR="000C158C" w:rsidRDefault="000C158C" w:rsidP="000C158C">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General questions</w:t>
            </w:r>
          </w:p>
        </w:tc>
        <w:tc>
          <w:tcPr>
            <w:tcW w:w="2610" w:type="dxa"/>
            <w:tcMar>
              <w:top w:w="129" w:type="dxa"/>
              <w:left w:w="129" w:type="dxa"/>
              <w:bottom w:w="129" w:type="dxa"/>
              <w:right w:w="129" w:type="dxa"/>
            </w:tcMar>
          </w:tcPr>
          <w:p w14:paraId="2BE8D727" w14:textId="5B37B2E2" w:rsidR="000C158C" w:rsidRPr="000C158C" w:rsidRDefault="000C158C" w:rsidP="000C158C">
            <w:pPr>
              <w:pStyle w:val="ListParagraph"/>
              <w:numPr>
                <w:ilvl w:val="0"/>
                <w:numId w:val="14"/>
              </w:numPr>
              <w:pBdr>
                <w:top w:val="nil"/>
                <w:left w:val="nil"/>
                <w:bottom w:val="nil"/>
                <w:right w:val="nil"/>
                <w:between w:val="nil"/>
              </w:pBdr>
              <w:spacing w:after="0" w:line="240" w:lineRule="auto"/>
              <w:rPr>
                <w:sz w:val="20"/>
                <w:szCs w:val="20"/>
              </w:rPr>
            </w:pPr>
            <w:r w:rsidRPr="00D60059">
              <w:rPr>
                <w:sz w:val="20"/>
                <w:szCs w:val="20"/>
              </w:rPr>
              <w:t xml:space="preserve">Will Department Managers have access to </w:t>
            </w:r>
            <w:r>
              <w:rPr>
                <w:sz w:val="20"/>
                <w:szCs w:val="20"/>
              </w:rPr>
              <w:t>ethics</w:t>
            </w:r>
            <w:r w:rsidRPr="00D60059">
              <w:rPr>
                <w:sz w:val="20"/>
                <w:szCs w:val="20"/>
              </w:rPr>
              <w:t xml:space="preserve"> documentation required to make </w:t>
            </w:r>
            <w:r w:rsidRPr="00D60059">
              <w:rPr>
                <w:sz w:val="20"/>
                <w:szCs w:val="20"/>
              </w:rPr>
              <w:lastRenderedPageBreak/>
              <w:t>de</w:t>
            </w:r>
            <w:r>
              <w:rPr>
                <w:sz w:val="20"/>
                <w:szCs w:val="20"/>
              </w:rPr>
              <w:t>cisions on expense eligibility?</w:t>
            </w:r>
          </w:p>
        </w:tc>
        <w:tc>
          <w:tcPr>
            <w:tcW w:w="5414" w:type="dxa"/>
            <w:tcMar>
              <w:top w:w="129" w:type="dxa"/>
              <w:left w:w="129" w:type="dxa"/>
              <w:bottom w:w="129" w:type="dxa"/>
              <w:right w:w="129" w:type="dxa"/>
            </w:tcMar>
          </w:tcPr>
          <w:p w14:paraId="02D6701B" w14:textId="77777777" w:rsidR="000C158C" w:rsidRDefault="000C158C" w:rsidP="000C158C">
            <w:pPr>
              <w:pStyle w:val="ListParagraph"/>
              <w:numPr>
                <w:ilvl w:val="0"/>
                <w:numId w:val="15"/>
              </w:numPr>
              <w:spacing w:after="0" w:line="240" w:lineRule="auto"/>
              <w:rPr>
                <w:sz w:val="20"/>
                <w:szCs w:val="20"/>
              </w:rPr>
            </w:pPr>
            <w:r w:rsidRPr="00D60059">
              <w:rPr>
                <w:sz w:val="20"/>
                <w:szCs w:val="20"/>
              </w:rPr>
              <w:lastRenderedPageBreak/>
              <w:t xml:space="preserve">With regards to the ethics approval, as long as the PI makes the statement that they have the REB approval that is sufficient. </w:t>
            </w:r>
          </w:p>
          <w:p w14:paraId="779773C7" w14:textId="77777777" w:rsidR="000C158C" w:rsidRDefault="000C158C" w:rsidP="000C158C">
            <w:pPr>
              <w:pStyle w:val="ListParagraph"/>
              <w:numPr>
                <w:ilvl w:val="0"/>
                <w:numId w:val="15"/>
              </w:numPr>
              <w:spacing w:after="0" w:line="240" w:lineRule="auto"/>
              <w:rPr>
                <w:sz w:val="20"/>
                <w:szCs w:val="20"/>
              </w:rPr>
            </w:pPr>
            <w:r>
              <w:rPr>
                <w:sz w:val="20"/>
                <w:szCs w:val="20"/>
              </w:rPr>
              <w:t xml:space="preserve">The </w:t>
            </w:r>
            <w:r w:rsidRPr="00D60059">
              <w:rPr>
                <w:sz w:val="20"/>
                <w:szCs w:val="20"/>
              </w:rPr>
              <w:t xml:space="preserve">REB application </w:t>
            </w:r>
            <w:r>
              <w:rPr>
                <w:sz w:val="20"/>
                <w:szCs w:val="20"/>
              </w:rPr>
              <w:t xml:space="preserve">number is tracked </w:t>
            </w:r>
            <w:r w:rsidRPr="00D60059">
              <w:rPr>
                <w:sz w:val="20"/>
                <w:szCs w:val="20"/>
              </w:rPr>
              <w:t xml:space="preserve">if needed. </w:t>
            </w:r>
          </w:p>
          <w:p w14:paraId="08418D70" w14:textId="77777777" w:rsidR="000C158C" w:rsidRDefault="000C158C" w:rsidP="000C158C">
            <w:pPr>
              <w:pStyle w:val="ListParagraph"/>
              <w:numPr>
                <w:ilvl w:val="0"/>
                <w:numId w:val="15"/>
              </w:numPr>
              <w:spacing w:after="0" w:line="240" w:lineRule="auto"/>
              <w:rPr>
                <w:sz w:val="20"/>
                <w:szCs w:val="20"/>
              </w:rPr>
            </w:pPr>
            <w:r w:rsidRPr="00D60059">
              <w:rPr>
                <w:sz w:val="20"/>
                <w:szCs w:val="20"/>
              </w:rPr>
              <w:lastRenderedPageBreak/>
              <w:t xml:space="preserve">Other information will be in the form of Policies, Procedures and Funding Opportunity Literature. </w:t>
            </w:r>
          </w:p>
          <w:p w14:paraId="1E92AD64" w14:textId="77777777" w:rsidR="000C158C" w:rsidRPr="000C158C" w:rsidRDefault="000C158C" w:rsidP="000C158C">
            <w:pPr>
              <w:widowControl w:val="0"/>
              <w:pBdr>
                <w:top w:val="nil"/>
                <w:left w:val="nil"/>
                <w:bottom w:val="nil"/>
                <w:right w:val="nil"/>
                <w:between w:val="nil"/>
              </w:pBdr>
              <w:spacing w:after="0"/>
              <w:rPr>
                <w:rFonts w:asciiTheme="minorHAnsi" w:eastAsiaTheme="minorHAnsi" w:hAnsiTheme="minorHAnsi" w:cstheme="minorBidi"/>
                <w:sz w:val="20"/>
                <w:szCs w:val="20"/>
                <w:lang w:val="en-US"/>
              </w:rPr>
            </w:pPr>
          </w:p>
        </w:tc>
      </w:tr>
      <w:tr w:rsidR="000C158C" w14:paraId="68E43719" w14:textId="77777777" w:rsidTr="00EC6F6A">
        <w:tc>
          <w:tcPr>
            <w:tcW w:w="1936" w:type="dxa"/>
            <w:shd w:val="clear" w:color="auto" w:fill="auto"/>
            <w:tcMar>
              <w:top w:w="129" w:type="dxa"/>
              <w:left w:w="129" w:type="dxa"/>
              <w:bottom w:w="129" w:type="dxa"/>
              <w:right w:w="129" w:type="dxa"/>
            </w:tcMar>
          </w:tcPr>
          <w:p w14:paraId="6EDD6F95" w14:textId="698A3C5D" w:rsidR="000C158C" w:rsidRDefault="00DE5493" w:rsidP="000C158C">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lastRenderedPageBreak/>
              <w:t>General questions</w:t>
            </w:r>
          </w:p>
        </w:tc>
        <w:tc>
          <w:tcPr>
            <w:tcW w:w="2610" w:type="dxa"/>
            <w:tcMar>
              <w:top w:w="129" w:type="dxa"/>
              <w:left w:w="129" w:type="dxa"/>
              <w:bottom w:w="129" w:type="dxa"/>
              <w:right w:w="129" w:type="dxa"/>
            </w:tcMar>
          </w:tcPr>
          <w:p w14:paraId="400E9726" w14:textId="02169900" w:rsidR="000C158C" w:rsidRPr="000C158C" w:rsidRDefault="000C158C" w:rsidP="000C158C">
            <w:pPr>
              <w:pStyle w:val="ListParagraph"/>
              <w:numPr>
                <w:ilvl w:val="0"/>
                <w:numId w:val="14"/>
              </w:numPr>
              <w:pBdr>
                <w:top w:val="nil"/>
                <w:left w:val="nil"/>
                <w:bottom w:val="nil"/>
                <w:right w:val="nil"/>
                <w:between w:val="nil"/>
              </w:pBdr>
              <w:spacing w:after="0" w:line="240" w:lineRule="auto"/>
              <w:rPr>
                <w:sz w:val="20"/>
                <w:szCs w:val="20"/>
              </w:rPr>
            </w:pPr>
            <w:r w:rsidRPr="00D60059">
              <w:rPr>
                <w:sz w:val="20"/>
                <w:szCs w:val="20"/>
              </w:rPr>
              <w:t>Has anything changed with regard to the delegate authority?</w:t>
            </w:r>
          </w:p>
        </w:tc>
        <w:tc>
          <w:tcPr>
            <w:tcW w:w="5414" w:type="dxa"/>
            <w:tcMar>
              <w:top w:w="129" w:type="dxa"/>
              <w:left w:w="129" w:type="dxa"/>
              <w:bottom w:w="129" w:type="dxa"/>
              <w:right w:w="129" w:type="dxa"/>
            </w:tcMar>
          </w:tcPr>
          <w:p w14:paraId="0AC95590" w14:textId="37F84FF8" w:rsidR="000C158C" w:rsidRPr="000C158C" w:rsidRDefault="000C158C" w:rsidP="000C158C">
            <w:pPr>
              <w:pStyle w:val="ListParagraph"/>
              <w:numPr>
                <w:ilvl w:val="0"/>
                <w:numId w:val="15"/>
              </w:numPr>
              <w:pBdr>
                <w:top w:val="nil"/>
                <w:left w:val="nil"/>
                <w:bottom w:val="nil"/>
                <w:right w:val="nil"/>
                <w:between w:val="nil"/>
              </w:pBdr>
              <w:spacing w:after="0" w:line="240" w:lineRule="auto"/>
              <w:rPr>
                <w:sz w:val="20"/>
                <w:szCs w:val="20"/>
              </w:rPr>
            </w:pPr>
            <w:r w:rsidRPr="00D60059">
              <w:rPr>
                <w:sz w:val="20"/>
                <w:szCs w:val="20"/>
              </w:rPr>
              <w:t>The grantee can delegate authority to someone who is working directly with the grantee on the research project, and has sufficient skills and knowledge to exercise the role effectively.</w:t>
            </w:r>
            <w:r>
              <w:rPr>
                <w:sz w:val="20"/>
                <w:szCs w:val="20"/>
              </w:rPr>
              <w:br/>
            </w:r>
          </w:p>
        </w:tc>
      </w:tr>
      <w:tr w:rsidR="000C158C" w14:paraId="6F439116" w14:textId="77777777" w:rsidTr="00EC6F6A">
        <w:tc>
          <w:tcPr>
            <w:tcW w:w="1936" w:type="dxa"/>
            <w:shd w:val="clear" w:color="auto" w:fill="auto"/>
            <w:tcMar>
              <w:top w:w="129" w:type="dxa"/>
              <w:left w:w="129" w:type="dxa"/>
              <w:bottom w:w="129" w:type="dxa"/>
              <w:right w:w="129" w:type="dxa"/>
            </w:tcMar>
          </w:tcPr>
          <w:p w14:paraId="1622A65B" w14:textId="5EFFFA7C" w:rsidR="000C158C" w:rsidRDefault="00DE5493" w:rsidP="000C158C">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General questions</w:t>
            </w:r>
          </w:p>
        </w:tc>
        <w:tc>
          <w:tcPr>
            <w:tcW w:w="2610" w:type="dxa"/>
            <w:tcMar>
              <w:top w:w="129" w:type="dxa"/>
              <w:left w:w="129" w:type="dxa"/>
              <w:bottom w:w="129" w:type="dxa"/>
              <w:right w:w="129" w:type="dxa"/>
            </w:tcMar>
          </w:tcPr>
          <w:p w14:paraId="4A54B697" w14:textId="4C20B510" w:rsidR="000C158C" w:rsidRPr="000C158C" w:rsidRDefault="000C158C" w:rsidP="000C158C">
            <w:pPr>
              <w:pStyle w:val="ListParagraph"/>
              <w:numPr>
                <w:ilvl w:val="0"/>
                <w:numId w:val="14"/>
              </w:numPr>
              <w:pBdr>
                <w:top w:val="nil"/>
                <w:left w:val="nil"/>
                <w:bottom w:val="nil"/>
                <w:right w:val="nil"/>
                <w:between w:val="nil"/>
              </w:pBdr>
              <w:spacing w:after="0" w:line="240" w:lineRule="auto"/>
              <w:rPr>
                <w:sz w:val="20"/>
                <w:szCs w:val="20"/>
              </w:rPr>
            </w:pPr>
            <w:r w:rsidRPr="00D60059">
              <w:rPr>
                <w:sz w:val="20"/>
                <w:szCs w:val="20"/>
              </w:rPr>
              <w:t xml:space="preserve">When </w:t>
            </w:r>
            <w:r>
              <w:rPr>
                <w:sz w:val="20"/>
                <w:szCs w:val="20"/>
              </w:rPr>
              <w:t xml:space="preserve">one </w:t>
            </w:r>
            <w:r w:rsidRPr="00D60059">
              <w:rPr>
                <w:sz w:val="20"/>
                <w:szCs w:val="20"/>
              </w:rPr>
              <w:t>say</w:t>
            </w:r>
            <w:r>
              <w:rPr>
                <w:sz w:val="20"/>
                <w:szCs w:val="20"/>
              </w:rPr>
              <w:t>s</w:t>
            </w:r>
            <w:r w:rsidRPr="00D60059">
              <w:rPr>
                <w:sz w:val="20"/>
                <w:szCs w:val="20"/>
              </w:rPr>
              <w:t xml:space="preserve"> </w:t>
            </w:r>
            <w:r w:rsidRPr="004E4574">
              <w:rPr>
                <w:b/>
                <w:i/>
                <w:sz w:val="20"/>
                <w:szCs w:val="20"/>
              </w:rPr>
              <w:t>“appropriateness”</w:t>
            </w:r>
            <w:r w:rsidRPr="00D60059">
              <w:rPr>
                <w:sz w:val="20"/>
                <w:szCs w:val="20"/>
              </w:rPr>
              <w:t xml:space="preserve"> does that also include justification to the research grant and budget?</w:t>
            </w:r>
          </w:p>
        </w:tc>
        <w:tc>
          <w:tcPr>
            <w:tcW w:w="5414" w:type="dxa"/>
            <w:tcMar>
              <w:top w:w="129" w:type="dxa"/>
              <w:left w:w="129" w:type="dxa"/>
              <w:bottom w:w="129" w:type="dxa"/>
              <w:right w:w="129" w:type="dxa"/>
            </w:tcMar>
          </w:tcPr>
          <w:p w14:paraId="1DCEFABC" w14:textId="77777777" w:rsidR="000C158C" w:rsidRDefault="000C158C" w:rsidP="000C158C">
            <w:pPr>
              <w:pStyle w:val="ListParagraph"/>
              <w:numPr>
                <w:ilvl w:val="0"/>
                <w:numId w:val="15"/>
              </w:numPr>
              <w:spacing w:after="0" w:line="240" w:lineRule="auto"/>
              <w:rPr>
                <w:sz w:val="20"/>
                <w:szCs w:val="20"/>
              </w:rPr>
            </w:pPr>
            <w:r>
              <w:rPr>
                <w:sz w:val="20"/>
                <w:szCs w:val="20"/>
              </w:rPr>
              <w:t xml:space="preserve">Yes </w:t>
            </w:r>
          </w:p>
          <w:p w14:paraId="2875C28F" w14:textId="77777777" w:rsidR="000C158C" w:rsidRDefault="000C158C" w:rsidP="000C158C">
            <w:pPr>
              <w:pStyle w:val="ListParagraph"/>
              <w:numPr>
                <w:ilvl w:val="0"/>
                <w:numId w:val="15"/>
              </w:numPr>
              <w:spacing w:after="0" w:line="240" w:lineRule="auto"/>
              <w:rPr>
                <w:sz w:val="20"/>
                <w:szCs w:val="20"/>
              </w:rPr>
            </w:pPr>
            <w:r w:rsidRPr="00D60059">
              <w:rPr>
                <w:sz w:val="20"/>
                <w:szCs w:val="20"/>
              </w:rPr>
              <w:t xml:space="preserve">Justification provides information to determine if the Principles are satisfied. For example, travel is an eligible expense; however is the purpose of the travel eligible? </w:t>
            </w:r>
          </w:p>
          <w:p w14:paraId="2EEDAE46" w14:textId="48B5ADA2" w:rsidR="000C158C" w:rsidRDefault="000C158C" w:rsidP="000C158C">
            <w:pPr>
              <w:pStyle w:val="ListParagraph"/>
              <w:numPr>
                <w:ilvl w:val="0"/>
                <w:numId w:val="15"/>
              </w:numPr>
              <w:pBdr>
                <w:top w:val="nil"/>
                <w:left w:val="nil"/>
                <w:bottom w:val="nil"/>
                <w:right w:val="nil"/>
                <w:between w:val="nil"/>
              </w:pBdr>
              <w:spacing w:after="0" w:line="240" w:lineRule="auto"/>
              <w:rPr>
                <w:rFonts w:ascii="Trebuchet MS" w:eastAsia="Trebuchet MS" w:hAnsi="Trebuchet MS" w:cs="Trebuchet MS"/>
                <w:color w:val="434343"/>
              </w:rPr>
            </w:pPr>
            <w:r w:rsidRPr="000C158C">
              <w:rPr>
                <w:sz w:val="20"/>
                <w:szCs w:val="20"/>
              </w:rPr>
              <w:t xml:space="preserve">This is where justification or additional information to assess the purpose of travel is required, as well as the cost of travel in relation to the economical aspect of budget. </w:t>
            </w:r>
            <w:r w:rsidRPr="000C158C">
              <w:rPr>
                <w:sz w:val="20"/>
                <w:szCs w:val="20"/>
              </w:rPr>
              <w:br/>
            </w:r>
          </w:p>
        </w:tc>
      </w:tr>
      <w:tr w:rsidR="000C158C" w14:paraId="2CC12FD2" w14:textId="77777777" w:rsidTr="00EC6F6A">
        <w:tc>
          <w:tcPr>
            <w:tcW w:w="1936" w:type="dxa"/>
            <w:shd w:val="clear" w:color="auto" w:fill="auto"/>
            <w:tcMar>
              <w:top w:w="129" w:type="dxa"/>
              <w:left w:w="129" w:type="dxa"/>
              <w:bottom w:w="129" w:type="dxa"/>
              <w:right w:w="129" w:type="dxa"/>
            </w:tcMar>
          </w:tcPr>
          <w:p w14:paraId="099A9DCA" w14:textId="604F5AFB" w:rsidR="000C158C" w:rsidRDefault="00DE5493" w:rsidP="000C158C">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General questions</w:t>
            </w:r>
          </w:p>
        </w:tc>
        <w:tc>
          <w:tcPr>
            <w:tcW w:w="2610" w:type="dxa"/>
            <w:tcMar>
              <w:top w:w="129" w:type="dxa"/>
              <w:left w:w="129" w:type="dxa"/>
              <w:bottom w:w="129" w:type="dxa"/>
              <w:right w:w="129" w:type="dxa"/>
            </w:tcMar>
          </w:tcPr>
          <w:p w14:paraId="7CD2F6D7" w14:textId="77777777" w:rsidR="000C158C" w:rsidRDefault="000C158C" w:rsidP="000C158C">
            <w:pPr>
              <w:pStyle w:val="ListParagraph"/>
              <w:numPr>
                <w:ilvl w:val="0"/>
                <w:numId w:val="14"/>
              </w:numPr>
              <w:spacing w:after="0" w:line="240" w:lineRule="auto"/>
              <w:rPr>
                <w:sz w:val="20"/>
                <w:szCs w:val="20"/>
              </w:rPr>
            </w:pPr>
            <w:r>
              <w:rPr>
                <w:sz w:val="20"/>
                <w:szCs w:val="20"/>
              </w:rPr>
              <w:t>Has there been any communication to the community regarding to the change with respect to liaising directly with Tri-Agency?</w:t>
            </w:r>
          </w:p>
          <w:p w14:paraId="0BA3F353" w14:textId="77777777" w:rsidR="000C158C" w:rsidRPr="000C158C" w:rsidRDefault="000C158C" w:rsidP="000C158C">
            <w:pPr>
              <w:pStyle w:val="ListParagraph"/>
              <w:pBdr>
                <w:top w:val="nil"/>
                <w:left w:val="nil"/>
                <w:bottom w:val="nil"/>
                <w:right w:val="nil"/>
                <w:between w:val="nil"/>
              </w:pBdr>
              <w:spacing w:after="0" w:line="240" w:lineRule="auto"/>
              <w:ind w:left="360"/>
              <w:rPr>
                <w:sz w:val="20"/>
                <w:szCs w:val="20"/>
              </w:rPr>
            </w:pPr>
          </w:p>
        </w:tc>
        <w:tc>
          <w:tcPr>
            <w:tcW w:w="5414" w:type="dxa"/>
            <w:tcMar>
              <w:top w:w="129" w:type="dxa"/>
              <w:left w:w="129" w:type="dxa"/>
              <w:bottom w:w="129" w:type="dxa"/>
              <w:right w:w="129" w:type="dxa"/>
            </w:tcMar>
          </w:tcPr>
          <w:p w14:paraId="445491E3" w14:textId="77777777" w:rsidR="000C158C" w:rsidRDefault="000C158C" w:rsidP="000C158C">
            <w:pPr>
              <w:pStyle w:val="ListParagraph"/>
              <w:numPr>
                <w:ilvl w:val="0"/>
                <w:numId w:val="15"/>
              </w:numPr>
              <w:spacing w:after="0" w:line="240" w:lineRule="auto"/>
              <w:rPr>
                <w:sz w:val="20"/>
                <w:szCs w:val="20"/>
              </w:rPr>
            </w:pPr>
            <w:r w:rsidRPr="00D60059">
              <w:rPr>
                <w:sz w:val="20"/>
                <w:szCs w:val="20"/>
              </w:rPr>
              <w:t xml:space="preserve">PI’s were informed about the use of Grant Amendment Form and the requirement that it is to be submitted to ORS, not directly to the Tri Agency effective April 1, 2020 in a letter from the VPR to PI’s on March 17, and they were informed that the Tri Agency will no longer answer questions regarding eligibility. </w:t>
            </w:r>
          </w:p>
          <w:p w14:paraId="2BBA7FAF" w14:textId="7B6D8DFF" w:rsidR="000C158C" w:rsidRDefault="000C158C" w:rsidP="000C158C">
            <w:pPr>
              <w:pStyle w:val="ListParagraph"/>
              <w:numPr>
                <w:ilvl w:val="0"/>
                <w:numId w:val="15"/>
              </w:numPr>
              <w:pBdr>
                <w:top w:val="nil"/>
                <w:left w:val="nil"/>
                <w:bottom w:val="nil"/>
                <w:right w:val="nil"/>
                <w:between w:val="nil"/>
              </w:pBdr>
              <w:spacing w:after="0" w:line="240" w:lineRule="auto"/>
              <w:rPr>
                <w:rFonts w:ascii="Trebuchet MS" w:eastAsia="Trebuchet MS" w:hAnsi="Trebuchet MS" w:cs="Trebuchet MS"/>
                <w:color w:val="434343"/>
              </w:rPr>
            </w:pPr>
            <w:r w:rsidRPr="00D60059">
              <w:rPr>
                <w:sz w:val="20"/>
                <w:szCs w:val="20"/>
              </w:rPr>
              <w:t xml:space="preserve">Questions should be directed to </w:t>
            </w:r>
            <w:hyperlink r:id="rId7" w:history="1">
              <w:r w:rsidRPr="000C158C">
                <w:rPr>
                  <w:sz w:val="20"/>
                  <w:szCs w:val="20"/>
                </w:rPr>
                <w:t>tagfa@sfu.ca</w:t>
              </w:r>
            </w:hyperlink>
            <w:r w:rsidRPr="000C158C">
              <w:rPr>
                <w:sz w:val="20"/>
                <w:szCs w:val="20"/>
              </w:rPr>
              <w:t xml:space="preserve"> </w:t>
            </w:r>
            <w:r w:rsidRPr="00D60059">
              <w:rPr>
                <w:sz w:val="20"/>
                <w:szCs w:val="20"/>
              </w:rPr>
              <w:t>and will be answered within 48 hours.</w:t>
            </w:r>
            <w:r>
              <w:rPr>
                <w:sz w:val="20"/>
                <w:szCs w:val="20"/>
              </w:rPr>
              <w:br/>
            </w:r>
          </w:p>
        </w:tc>
      </w:tr>
      <w:tr w:rsidR="000C158C" w14:paraId="11EC58C5" w14:textId="77777777" w:rsidTr="00EC6F6A">
        <w:tc>
          <w:tcPr>
            <w:tcW w:w="1936" w:type="dxa"/>
            <w:shd w:val="clear" w:color="auto" w:fill="auto"/>
            <w:tcMar>
              <w:top w:w="129" w:type="dxa"/>
              <w:left w:w="129" w:type="dxa"/>
              <w:bottom w:w="129" w:type="dxa"/>
              <w:right w:w="129" w:type="dxa"/>
            </w:tcMar>
          </w:tcPr>
          <w:p w14:paraId="0A545D90" w14:textId="3105E97C" w:rsidR="000C158C" w:rsidRDefault="00DE5493" w:rsidP="000C158C">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General questions</w:t>
            </w:r>
          </w:p>
        </w:tc>
        <w:tc>
          <w:tcPr>
            <w:tcW w:w="2610" w:type="dxa"/>
            <w:tcMar>
              <w:top w:w="129" w:type="dxa"/>
              <w:left w:w="129" w:type="dxa"/>
              <w:bottom w:w="129" w:type="dxa"/>
              <w:right w:w="129" w:type="dxa"/>
            </w:tcMar>
          </w:tcPr>
          <w:p w14:paraId="619621B8" w14:textId="34ED7C5A" w:rsidR="000C158C" w:rsidRDefault="000C158C" w:rsidP="000C158C">
            <w:pPr>
              <w:pStyle w:val="ListParagraph"/>
              <w:numPr>
                <w:ilvl w:val="0"/>
                <w:numId w:val="14"/>
              </w:numPr>
              <w:pBdr>
                <w:top w:val="nil"/>
                <w:left w:val="nil"/>
                <w:bottom w:val="nil"/>
                <w:right w:val="nil"/>
                <w:between w:val="nil"/>
              </w:pBdr>
              <w:spacing w:after="0" w:line="240" w:lineRule="auto"/>
              <w:rPr>
                <w:rFonts w:ascii="Trebuchet MS" w:eastAsia="Trebuchet MS" w:hAnsi="Trebuchet MS" w:cs="Trebuchet MS"/>
                <w:color w:val="434343"/>
              </w:rPr>
            </w:pPr>
            <w:r w:rsidRPr="00D60059">
              <w:rPr>
                <w:sz w:val="20"/>
                <w:szCs w:val="20"/>
              </w:rPr>
              <w:t>What role will SFU Research Accounting play in the process of determining eligible costs going forward?</w:t>
            </w:r>
            <w:r>
              <w:rPr>
                <w:sz w:val="20"/>
                <w:szCs w:val="20"/>
              </w:rPr>
              <w:br/>
            </w:r>
          </w:p>
        </w:tc>
        <w:tc>
          <w:tcPr>
            <w:tcW w:w="5414" w:type="dxa"/>
            <w:tcMar>
              <w:top w:w="129" w:type="dxa"/>
              <w:left w:w="129" w:type="dxa"/>
              <w:bottom w:w="129" w:type="dxa"/>
              <w:right w:w="129" w:type="dxa"/>
            </w:tcMar>
          </w:tcPr>
          <w:p w14:paraId="579889D3" w14:textId="15C86755" w:rsidR="000C158C" w:rsidRDefault="000C158C" w:rsidP="000C158C">
            <w:pPr>
              <w:pStyle w:val="ListParagraph"/>
              <w:numPr>
                <w:ilvl w:val="0"/>
                <w:numId w:val="15"/>
              </w:numPr>
              <w:pBdr>
                <w:top w:val="nil"/>
                <w:left w:val="nil"/>
                <w:bottom w:val="nil"/>
                <w:right w:val="nil"/>
                <w:between w:val="nil"/>
              </w:pBdr>
              <w:spacing w:after="0" w:line="240" w:lineRule="auto"/>
              <w:rPr>
                <w:rFonts w:ascii="Trebuchet MS" w:eastAsia="Trebuchet MS" w:hAnsi="Trebuchet MS" w:cs="Trebuchet MS"/>
                <w:color w:val="434343"/>
              </w:rPr>
            </w:pPr>
            <w:r w:rsidRPr="00D60059">
              <w:rPr>
                <w:sz w:val="20"/>
                <w:szCs w:val="20"/>
              </w:rPr>
              <w:t>Research Accounting will continue to be part of the consulting body and advise accordingly; however, the approval decision continues to be at the Faculty level.</w:t>
            </w:r>
          </w:p>
        </w:tc>
      </w:tr>
      <w:tr w:rsidR="00DE5493" w14:paraId="7A626EE0" w14:textId="77777777" w:rsidTr="0057153B">
        <w:tc>
          <w:tcPr>
            <w:tcW w:w="1936" w:type="dxa"/>
            <w:shd w:val="clear" w:color="auto" w:fill="auto"/>
            <w:tcMar>
              <w:top w:w="129" w:type="dxa"/>
              <w:left w:w="129" w:type="dxa"/>
              <w:bottom w:w="129" w:type="dxa"/>
              <w:right w:w="129" w:type="dxa"/>
            </w:tcMar>
          </w:tcPr>
          <w:p w14:paraId="33162D5F" w14:textId="714669AC" w:rsidR="00DE5493" w:rsidRDefault="00DE5493" w:rsidP="00DE5493">
            <w:pPr>
              <w:widowControl w:val="0"/>
              <w:pBdr>
                <w:top w:val="nil"/>
                <w:left w:val="nil"/>
                <w:bottom w:val="nil"/>
                <w:right w:val="nil"/>
                <w:between w:val="nil"/>
              </w:pBdr>
              <w:spacing w:after="0"/>
              <w:rPr>
                <w:rFonts w:ascii="Trebuchet MS" w:eastAsia="Trebuchet MS" w:hAnsi="Trebuchet MS" w:cs="Trebuchet MS"/>
                <w:color w:val="434343"/>
              </w:rPr>
            </w:pPr>
            <w:r w:rsidRPr="00D60059">
              <w:rPr>
                <w:b/>
                <w:sz w:val="20"/>
                <w:szCs w:val="20"/>
              </w:rPr>
              <w:t>General questions</w:t>
            </w:r>
          </w:p>
        </w:tc>
        <w:tc>
          <w:tcPr>
            <w:tcW w:w="2610" w:type="dxa"/>
            <w:tcMar>
              <w:top w:w="129" w:type="dxa"/>
              <w:left w:w="129" w:type="dxa"/>
              <w:bottom w:w="129" w:type="dxa"/>
              <w:right w:w="129" w:type="dxa"/>
            </w:tcMar>
          </w:tcPr>
          <w:p w14:paraId="33B7D198" w14:textId="77777777" w:rsidR="00DE5493" w:rsidRPr="00CA30AD" w:rsidRDefault="00DE5493" w:rsidP="00DE5493">
            <w:pPr>
              <w:pStyle w:val="ListParagraph"/>
              <w:numPr>
                <w:ilvl w:val="0"/>
                <w:numId w:val="14"/>
              </w:numPr>
              <w:spacing w:after="0" w:line="240" w:lineRule="auto"/>
              <w:rPr>
                <w:sz w:val="20"/>
                <w:szCs w:val="20"/>
              </w:rPr>
            </w:pPr>
            <w:r w:rsidRPr="00CA30AD">
              <w:rPr>
                <w:sz w:val="20"/>
                <w:szCs w:val="20"/>
              </w:rPr>
              <w:t xml:space="preserve">Is a faculty member who retires but continues their research under emeritus </w:t>
            </w:r>
            <w:r>
              <w:rPr>
                <w:sz w:val="20"/>
                <w:szCs w:val="20"/>
              </w:rPr>
              <w:t xml:space="preserve">status, </w:t>
            </w:r>
            <w:r w:rsidRPr="00CA30AD">
              <w:rPr>
                <w:sz w:val="20"/>
                <w:szCs w:val="20"/>
              </w:rPr>
              <w:t>allowed to take grant-</w:t>
            </w:r>
            <w:r w:rsidRPr="00CA30AD">
              <w:rPr>
                <w:sz w:val="20"/>
                <w:szCs w:val="20"/>
              </w:rPr>
              <w:lastRenderedPageBreak/>
              <w:t>purchased equipment home, and whether the University would still be responsible for maintaining it, replacing it when damaged, or insuring it. ?</w:t>
            </w:r>
          </w:p>
          <w:p w14:paraId="74D76B01" w14:textId="77777777" w:rsidR="00DE5493" w:rsidRDefault="00DE5493" w:rsidP="00DE5493">
            <w:pPr>
              <w:widowControl w:val="0"/>
              <w:pBdr>
                <w:top w:val="nil"/>
                <w:left w:val="nil"/>
                <w:bottom w:val="nil"/>
                <w:right w:val="nil"/>
                <w:between w:val="nil"/>
              </w:pBdr>
              <w:spacing w:after="0"/>
              <w:rPr>
                <w:rFonts w:ascii="Trebuchet MS" w:eastAsia="Trebuchet MS" w:hAnsi="Trebuchet MS" w:cs="Trebuchet MS"/>
                <w:color w:val="434343"/>
              </w:rPr>
            </w:pPr>
          </w:p>
        </w:tc>
        <w:tc>
          <w:tcPr>
            <w:tcW w:w="5414" w:type="dxa"/>
            <w:tcMar>
              <w:top w:w="129" w:type="dxa"/>
              <w:left w:w="129" w:type="dxa"/>
              <w:bottom w:w="129" w:type="dxa"/>
              <w:right w:w="129" w:type="dxa"/>
            </w:tcMar>
          </w:tcPr>
          <w:p w14:paraId="2DF08332" w14:textId="77777777" w:rsidR="00DE5493" w:rsidRPr="004E4574" w:rsidRDefault="00DE5493" w:rsidP="00DE5493">
            <w:pPr>
              <w:pStyle w:val="ListParagraph"/>
              <w:numPr>
                <w:ilvl w:val="0"/>
                <w:numId w:val="15"/>
              </w:numPr>
              <w:spacing w:after="0" w:line="240" w:lineRule="auto"/>
              <w:rPr>
                <w:sz w:val="20"/>
                <w:szCs w:val="20"/>
              </w:rPr>
            </w:pPr>
            <w:r w:rsidRPr="00CA30AD">
              <w:rPr>
                <w:sz w:val="20"/>
                <w:szCs w:val="20"/>
              </w:rPr>
              <w:lastRenderedPageBreak/>
              <w:t>Any equipment that is purchased with Tri-Agency funds, or any other funds administered by SFU, belongs to the Institution in this case SFU, unless the external sponsor indicates otherwise.</w:t>
            </w:r>
          </w:p>
          <w:p w14:paraId="7EE5D9DF" w14:textId="77777777" w:rsidR="00DE5493" w:rsidRPr="004E4574" w:rsidRDefault="00DE5493" w:rsidP="00DE5493">
            <w:pPr>
              <w:pStyle w:val="ListParagraph"/>
              <w:numPr>
                <w:ilvl w:val="0"/>
                <w:numId w:val="15"/>
              </w:numPr>
              <w:spacing w:after="0" w:line="240" w:lineRule="auto"/>
              <w:rPr>
                <w:sz w:val="20"/>
                <w:szCs w:val="20"/>
              </w:rPr>
            </w:pPr>
            <w:r w:rsidRPr="00CA30AD">
              <w:rPr>
                <w:sz w:val="20"/>
                <w:szCs w:val="20"/>
              </w:rPr>
              <w:t xml:space="preserve">SFU owns the equipment and is responsible to insure it, maintain it and responsible for its inventory. </w:t>
            </w:r>
          </w:p>
          <w:p w14:paraId="52E42F81" w14:textId="77777777" w:rsidR="00DE5493" w:rsidRPr="004E4574" w:rsidRDefault="00DE5493" w:rsidP="00DE5493">
            <w:pPr>
              <w:pStyle w:val="ListParagraph"/>
              <w:numPr>
                <w:ilvl w:val="0"/>
                <w:numId w:val="15"/>
              </w:numPr>
              <w:spacing w:after="0" w:line="240" w:lineRule="auto"/>
              <w:rPr>
                <w:sz w:val="20"/>
                <w:szCs w:val="20"/>
              </w:rPr>
            </w:pPr>
            <w:r w:rsidRPr="00CA30AD">
              <w:rPr>
                <w:sz w:val="20"/>
                <w:szCs w:val="20"/>
              </w:rPr>
              <w:lastRenderedPageBreak/>
              <w:t>If an individual grantee, emeritus or otherwise, takes equipment home, it would have to be approved by the Department Chair/School Director, and the Department/School would be responsible for the equipment.</w:t>
            </w:r>
          </w:p>
          <w:p w14:paraId="16FF4C7F" w14:textId="77777777" w:rsidR="00DE5493" w:rsidRPr="00CA30AD" w:rsidRDefault="00DE5493" w:rsidP="00DE5493">
            <w:pPr>
              <w:pStyle w:val="ListParagraph"/>
              <w:numPr>
                <w:ilvl w:val="0"/>
                <w:numId w:val="15"/>
              </w:numPr>
              <w:spacing w:after="0" w:line="240" w:lineRule="auto"/>
              <w:rPr>
                <w:sz w:val="20"/>
                <w:szCs w:val="20"/>
              </w:rPr>
            </w:pPr>
            <w:r w:rsidRPr="00CA30AD">
              <w:rPr>
                <w:sz w:val="20"/>
                <w:szCs w:val="20"/>
              </w:rPr>
              <w:t xml:space="preserve">Refer to </w:t>
            </w:r>
            <w:r w:rsidRPr="004E4574">
              <w:rPr>
                <w:b/>
                <w:sz w:val="20"/>
                <w:szCs w:val="20"/>
              </w:rPr>
              <w:t>Procurement policy/process</w:t>
            </w:r>
            <w:r w:rsidRPr="00CA30AD">
              <w:rPr>
                <w:sz w:val="20"/>
                <w:szCs w:val="20"/>
              </w:rPr>
              <w:t xml:space="preserve"> regarding surplus equipment and disposal</w:t>
            </w:r>
          </w:p>
          <w:p w14:paraId="0730E8DF" w14:textId="77777777" w:rsidR="00DE5493" w:rsidRDefault="00DE5493" w:rsidP="00DE5493">
            <w:pPr>
              <w:widowControl w:val="0"/>
              <w:pBdr>
                <w:top w:val="nil"/>
                <w:left w:val="nil"/>
                <w:bottom w:val="nil"/>
                <w:right w:val="nil"/>
                <w:between w:val="nil"/>
              </w:pBdr>
              <w:spacing w:after="0"/>
              <w:rPr>
                <w:rFonts w:ascii="Trebuchet MS" w:eastAsia="Trebuchet MS" w:hAnsi="Trebuchet MS" w:cs="Trebuchet MS"/>
                <w:color w:val="434343"/>
              </w:rPr>
            </w:pPr>
          </w:p>
        </w:tc>
      </w:tr>
    </w:tbl>
    <w:p w14:paraId="0FAB883A" w14:textId="77777777" w:rsidR="00441BBF" w:rsidRDefault="00441BBF">
      <w:pPr>
        <w:pBdr>
          <w:top w:val="nil"/>
          <w:left w:val="nil"/>
          <w:bottom w:val="nil"/>
          <w:right w:val="nil"/>
          <w:between w:val="nil"/>
        </w:pBdr>
        <w:spacing w:after="120"/>
        <w:rPr>
          <w:rFonts w:ascii="Trebuchet MS" w:eastAsia="Trebuchet MS" w:hAnsi="Trebuchet MS" w:cs="Trebuchet MS"/>
          <w:b/>
          <w:color w:val="A6192E"/>
          <w:sz w:val="28"/>
          <w:szCs w:val="28"/>
        </w:rPr>
      </w:pPr>
      <w:bookmarkStart w:id="0" w:name="_n4p6t8wallvk" w:colFirst="0" w:colLast="0"/>
      <w:bookmarkEnd w:id="0"/>
    </w:p>
    <w:sectPr w:rsidR="00441BBF">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AC2CD" w14:textId="77777777" w:rsidR="00832D3D" w:rsidRDefault="00832D3D">
      <w:pPr>
        <w:spacing w:after="0" w:line="240" w:lineRule="auto"/>
      </w:pPr>
      <w:r>
        <w:separator/>
      </w:r>
    </w:p>
  </w:endnote>
  <w:endnote w:type="continuationSeparator" w:id="0">
    <w:p w14:paraId="45A1926C" w14:textId="77777777" w:rsidR="00832D3D" w:rsidRDefault="0083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
    <w:altName w:val="Calibri"/>
    <w:charset w:val="00"/>
    <w:family w:val="auto"/>
    <w:pitch w:val="variable"/>
    <w:sig w:usb0="800000AF" w:usb1="5000204A" w:usb2="00000000" w:usb3="00000000" w:csb0="0000009B" w:csb1="00000000"/>
  </w:font>
  <w:font w:name="Trebuchet MS">
    <w:panose1 w:val="020B0603020202020204"/>
    <w:charset w:val="00"/>
    <w:family w:val="swiss"/>
    <w:pitch w:val="variable"/>
    <w:sig w:usb0="00000687" w:usb1="00000000" w:usb2="00000000" w:usb3="00000000" w:csb0="0000009F" w:csb1="00000000"/>
  </w:font>
  <w:font w:name="Helvetica Neue">
    <w:altName w:val="PF DIN Serif"/>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74463" w14:textId="77777777" w:rsidR="00441BBF" w:rsidRDefault="00B64A63">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color w:val="494840"/>
        <w:sz w:val="16"/>
        <w:szCs w:val="16"/>
      </w:rPr>
    </w:pPr>
    <w:r>
      <w:rPr>
        <w:rFonts w:ascii="Helvetica Neue" w:eastAsia="Helvetica Neue" w:hAnsi="Helvetica Neue" w:cs="Helvetica Neue"/>
        <w:color w:val="494840"/>
        <w:sz w:val="16"/>
        <w:szCs w:val="16"/>
      </w:rPr>
      <w:fldChar w:fldCharType="begin"/>
    </w:r>
    <w:r>
      <w:rPr>
        <w:rFonts w:ascii="Helvetica Neue" w:eastAsia="Helvetica Neue" w:hAnsi="Helvetica Neue" w:cs="Helvetica Neue"/>
        <w:color w:val="494840"/>
        <w:sz w:val="16"/>
        <w:szCs w:val="16"/>
      </w:rPr>
      <w:instrText>PAGE</w:instrText>
    </w:r>
    <w:r>
      <w:rPr>
        <w:rFonts w:ascii="Helvetica Neue" w:eastAsia="Helvetica Neue" w:hAnsi="Helvetica Neue" w:cs="Helvetica Neue"/>
        <w:color w:val="494840"/>
        <w:sz w:val="16"/>
        <w:szCs w:val="16"/>
      </w:rPr>
      <w:fldChar w:fldCharType="end"/>
    </w:r>
  </w:p>
  <w:p w14:paraId="5CC754F7" w14:textId="77777777" w:rsidR="00441BBF" w:rsidRDefault="00441BBF">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D1945" w14:textId="66B4E219" w:rsidR="00441BBF" w:rsidRDefault="00B64A63">
    <w:pPr>
      <w:pBdr>
        <w:top w:val="nil"/>
        <w:left w:val="nil"/>
        <w:bottom w:val="nil"/>
        <w:right w:val="nil"/>
        <w:between w:val="nil"/>
      </w:pBdr>
      <w:tabs>
        <w:tab w:val="center" w:pos="4680"/>
        <w:tab w:val="right" w:pos="9360"/>
      </w:tabs>
      <w:spacing w:after="0" w:line="240" w:lineRule="auto"/>
      <w:jc w:val="right"/>
      <w:rPr>
        <w:rFonts w:ascii="Helvetica Neue" w:eastAsia="Helvetica Neue" w:hAnsi="Helvetica Neue" w:cs="Helvetica Neue"/>
        <w:color w:val="494840"/>
        <w:sz w:val="16"/>
        <w:szCs w:val="16"/>
      </w:rPr>
    </w:pPr>
    <w:r>
      <w:rPr>
        <w:rFonts w:ascii="Helvetica Neue" w:eastAsia="Helvetica Neue" w:hAnsi="Helvetica Neue" w:cs="Helvetica Neue"/>
        <w:color w:val="494840"/>
        <w:sz w:val="16"/>
        <w:szCs w:val="16"/>
      </w:rPr>
      <w:fldChar w:fldCharType="begin"/>
    </w:r>
    <w:r>
      <w:rPr>
        <w:rFonts w:ascii="Helvetica Neue" w:eastAsia="Helvetica Neue" w:hAnsi="Helvetica Neue" w:cs="Helvetica Neue"/>
        <w:color w:val="494840"/>
        <w:sz w:val="16"/>
        <w:szCs w:val="16"/>
      </w:rPr>
      <w:instrText>PAGE</w:instrText>
    </w:r>
    <w:r>
      <w:rPr>
        <w:rFonts w:ascii="Helvetica Neue" w:eastAsia="Helvetica Neue" w:hAnsi="Helvetica Neue" w:cs="Helvetica Neue"/>
        <w:color w:val="494840"/>
        <w:sz w:val="16"/>
        <w:szCs w:val="16"/>
      </w:rPr>
      <w:fldChar w:fldCharType="separate"/>
    </w:r>
    <w:r w:rsidR="00AC23E1">
      <w:rPr>
        <w:rFonts w:ascii="Helvetica Neue" w:eastAsia="Helvetica Neue" w:hAnsi="Helvetica Neue" w:cs="Helvetica Neue"/>
        <w:noProof/>
        <w:color w:val="494840"/>
        <w:sz w:val="16"/>
        <w:szCs w:val="16"/>
      </w:rPr>
      <w:t>6</w:t>
    </w:r>
    <w:r>
      <w:rPr>
        <w:rFonts w:ascii="Helvetica Neue" w:eastAsia="Helvetica Neue" w:hAnsi="Helvetica Neue" w:cs="Helvetica Neue"/>
        <w:color w:val="494840"/>
        <w:sz w:val="16"/>
        <w:szCs w:val="16"/>
      </w:rPr>
      <w:fldChar w:fldCharType="end"/>
    </w:r>
  </w:p>
  <w:p w14:paraId="2A32C59B" w14:textId="77777777" w:rsidR="000F0262" w:rsidRPr="000F0262" w:rsidRDefault="000F0262" w:rsidP="000F0262">
    <w:pPr>
      <w:pStyle w:val="Footer"/>
      <w:tabs>
        <w:tab w:val="left" w:pos="6765"/>
      </w:tabs>
      <w:rPr>
        <w:b/>
      </w:rPr>
    </w:pPr>
    <w:r w:rsidRPr="000F0262">
      <w:rPr>
        <w:b/>
      </w:rPr>
      <w:t xml:space="preserve">Questions and Answers from SFU Tri-Agency </w:t>
    </w:r>
  </w:p>
  <w:p w14:paraId="78D3A093" w14:textId="77777777" w:rsidR="000F0262" w:rsidRPr="000F0262" w:rsidRDefault="000F0262" w:rsidP="000F0262">
    <w:pPr>
      <w:pStyle w:val="Footer"/>
      <w:tabs>
        <w:tab w:val="left" w:pos="6765"/>
      </w:tabs>
      <w:rPr>
        <w:b/>
      </w:rPr>
    </w:pPr>
    <w:r w:rsidRPr="000F0262">
      <w:rPr>
        <w:b/>
      </w:rPr>
      <w:t>Training Sessions</w:t>
    </w:r>
  </w:p>
  <w:p w14:paraId="69C41C5D" w14:textId="2FA8C643" w:rsidR="000F0262" w:rsidRPr="000F0262" w:rsidRDefault="000F0262" w:rsidP="000F0262">
    <w:pPr>
      <w:pStyle w:val="Footer"/>
      <w:tabs>
        <w:tab w:val="left" w:pos="6765"/>
      </w:tabs>
      <w:rPr>
        <w:b/>
      </w:rPr>
    </w:pPr>
    <w:r w:rsidRPr="000F0262">
      <w:t>June 2020</w:t>
    </w:r>
  </w:p>
  <w:p w14:paraId="49CF167A" w14:textId="77777777" w:rsidR="00441BBF" w:rsidRDefault="00441BBF">
    <w:pPr>
      <w:pBdr>
        <w:top w:val="nil"/>
        <w:left w:val="nil"/>
        <w:bottom w:val="nil"/>
        <w:right w:val="nil"/>
        <w:between w:val="nil"/>
      </w:pBdr>
      <w:tabs>
        <w:tab w:val="center" w:pos="4680"/>
        <w:tab w:val="right" w:pos="9360"/>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A585E" w14:textId="2DD2A4A4" w:rsidR="000F0262" w:rsidRPr="000F0262" w:rsidRDefault="000F0262" w:rsidP="000F0262">
    <w:pPr>
      <w:pStyle w:val="Footer"/>
      <w:tabs>
        <w:tab w:val="left" w:pos="6765"/>
      </w:tabs>
      <w:rPr>
        <w:b/>
      </w:rPr>
    </w:pPr>
    <w:r w:rsidRPr="000F0262">
      <w:rPr>
        <w:b/>
      </w:rPr>
      <w:t xml:space="preserve">Questions and Answers from SFU Tri-Agency </w:t>
    </w:r>
  </w:p>
  <w:p w14:paraId="734CB961" w14:textId="77777777" w:rsidR="000F0262" w:rsidRPr="000F0262" w:rsidRDefault="000F0262" w:rsidP="000F0262">
    <w:pPr>
      <w:pStyle w:val="Footer"/>
      <w:tabs>
        <w:tab w:val="left" w:pos="6765"/>
      </w:tabs>
      <w:rPr>
        <w:b/>
      </w:rPr>
    </w:pPr>
    <w:r w:rsidRPr="000F0262">
      <w:rPr>
        <w:b/>
      </w:rPr>
      <w:t>Training Sessions</w:t>
    </w:r>
  </w:p>
  <w:p w14:paraId="6170B706" w14:textId="0896A269" w:rsidR="000F0262" w:rsidRPr="000F0262" w:rsidRDefault="000F0262" w:rsidP="000F0262">
    <w:pPr>
      <w:pStyle w:val="Footer"/>
      <w:tabs>
        <w:tab w:val="left" w:pos="6765"/>
      </w:tabs>
      <w:rPr>
        <w:b/>
      </w:rPr>
    </w:pPr>
    <w:r w:rsidRPr="000F0262">
      <w:t>June 2020</w:t>
    </w:r>
  </w:p>
  <w:p w14:paraId="3C2A4A9B" w14:textId="77777777" w:rsidR="000F0262" w:rsidRPr="000F0262" w:rsidRDefault="000F0262" w:rsidP="000F0262">
    <w:pPr>
      <w:pStyle w:val="Footer"/>
      <w:tabs>
        <w:tab w:val="left" w:pos="6765"/>
      </w:tabs>
      <w:rPr>
        <w:b/>
      </w:rPr>
    </w:pPr>
  </w:p>
  <w:p w14:paraId="3D7CE597" w14:textId="77777777" w:rsidR="000F0262" w:rsidRPr="000F0262" w:rsidRDefault="000F0262" w:rsidP="000F0262">
    <w:pPr>
      <w:pStyle w:val="Footer"/>
      <w:tabs>
        <w:tab w:val="left" w:pos="6765"/>
      </w:tabs>
      <w:rPr>
        <w:b/>
      </w:rPr>
    </w:pPr>
  </w:p>
  <w:p w14:paraId="0FB9DFF6" w14:textId="2D4A9D5B" w:rsidR="000F0262" w:rsidRDefault="000F0262" w:rsidP="000F0262">
    <w:pPr>
      <w:pStyle w:val="Footer"/>
      <w:tabs>
        <w:tab w:val="clear" w:pos="4680"/>
        <w:tab w:val="clear" w:pos="9360"/>
        <w:tab w:val="left" w:pos="67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E6529" w14:textId="77777777" w:rsidR="00832D3D" w:rsidRDefault="00832D3D">
      <w:pPr>
        <w:spacing w:after="0" w:line="240" w:lineRule="auto"/>
      </w:pPr>
      <w:r>
        <w:separator/>
      </w:r>
    </w:p>
  </w:footnote>
  <w:footnote w:type="continuationSeparator" w:id="0">
    <w:p w14:paraId="160A8271" w14:textId="77777777" w:rsidR="00832D3D" w:rsidRDefault="00832D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BF9A" w14:textId="77777777" w:rsidR="00AC23E1" w:rsidRDefault="00AC23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F0D13" w14:textId="77777777" w:rsidR="000F0262" w:rsidRDefault="000F0262" w:rsidP="000F0262">
    <w:pPr>
      <w:spacing w:after="0"/>
      <w:rPr>
        <w:rFonts w:ascii="Trebuchet MS" w:eastAsia="Trebuchet MS" w:hAnsi="Trebuchet MS" w:cs="Trebuchet MS"/>
        <w:b/>
        <w:color w:val="A6192E"/>
        <w:sz w:val="32"/>
        <w:szCs w:val="32"/>
      </w:rPr>
    </w:pPr>
    <w:r>
      <w:rPr>
        <w:rFonts w:ascii="Trebuchet MS" w:eastAsia="Trebuchet MS" w:hAnsi="Trebuchet MS" w:cs="Trebuchet MS"/>
        <w:b/>
        <w:color w:val="A6192E"/>
        <w:sz w:val="32"/>
        <w:szCs w:val="32"/>
      </w:rPr>
      <w:t xml:space="preserve">Questions and Answers from SFU Tri-Agency </w:t>
    </w:r>
  </w:p>
  <w:p w14:paraId="53A549F3" w14:textId="77777777" w:rsidR="000F0262" w:rsidRDefault="000F0262" w:rsidP="000F0262">
    <w:pPr>
      <w:spacing w:after="0"/>
      <w:rPr>
        <w:rFonts w:ascii="Trebuchet MS" w:eastAsia="Trebuchet MS" w:hAnsi="Trebuchet MS" w:cs="Trebuchet MS"/>
        <w:b/>
        <w:color w:val="434343"/>
        <w:sz w:val="32"/>
        <w:szCs w:val="32"/>
      </w:rPr>
    </w:pPr>
    <w:r>
      <w:rPr>
        <w:rFonts w:ascii="Trebuchet MS" w:eastAsia="Trebuchet MS" w:hAnsi="Trebuchet MS" w:cs="Trebuchet MS"/>
        <w:b/>
        <w:color w:val="A6192E"/>
        <w:sz w:val="32"/>
        <w:szCs w:val="32"/>
      </w:rPr>
      <w:t>Training Sessions</w:t>
    </w:r>
  </w:p>
  <w:p w14:paraId="0712C407" w14:textId="77777777" w:rsidR="000F0262" w:rsidRDefault="000F0262" w:rsidP="000F0262">
    <w:pPr>
      <w:spacing w:after="0"/>
      <w:rPr>
        <w:rFonts w:ascii="Trebuchet MS" w:eastAsia="Trebuchet MS" w:hAnsi="Trebuchet MS" w:cs="Trebuchet MS"/>
        <w:b/>
        <w:color w:val="434343"/>
        <w:sz w:val="24"/>
        <w:szCs w:val="24"/>
      </w:rPr>
    </w:pPr>
    <w:r>
      <w:rPr>
        <w:rFonts w:ascii="Trebuchet MS" w:eastAsia="Trebuchet MS" w:hAnsi="Trebuchet MS" w:cs="Trebuchet MS"/>
        <w:color w:val="434343"/>
        <w:sz w:val="20"/>
        <w:szCs w:val="20"/>
      </w:rPr>
      <w:t>Last update June 2020</w:t>
    </w:r>
  </w:p>
  <w:p w14:paraId="3C874B46" w14:textId="77777777" w:rsidR="000F0262" w:rsidRDefault="000F0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E33D" w14:textId="77777777" w:rsidR="00441BBF" w:rsidRDefault="00B64A63">
    <w:pPr>
      <w:spacing w:after="0"/>
      <w:rPr>
        <w:rFonts w:ascii="Trebuchet MS" w:eastAsia="Trebuchet MS" w:hAnsi="Trebuchet MS" w:cs="Trebuchet MS"/>
        <w:b/>
        <w:color w:val="434343"/>
        <w:sz w:val="32"/>
        <w:szCs w:val="32"/>
      </w:rPr>
    </w:pPr>
    <w:bookmarkStart w:id="1" w:name="_GoBack"/>
    <w:bookmarkEnd w:id="1"/>
    <w:r>
      <w:rPr>
        <w:noProof/>
        <w:lang w:val="en-US"/>
      </w:rPr>
      <w:drawing>
        <wp:anchor distT="0" distB="0" distL="0" distR="0" simplePos="0" relativeHeight="251658240" behindDoc="0" locked="0" layoutInCell="1" hidden="0" allowOverlap="1" wp14:anchorId="03B5540E" wp14:editId="5E66532F">
          <wp:simplePos x="0" y="0"/>
          <wp:positionH relativeFrom="column">
            <wp:posOffset>5448300</wp:posOffset>
          </wp:positionH>
          <wp:positionV relativeFrom="paragraph">
            <wp:posOffset>238125</wp:posOffset>
          </wp:positionV>
          <wp:extent cx="952500" cy="45720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67948"/>
                  <a:stretch>
                    <a:fillRect/>
                  </a:stretch>
                </pic:blipFill>
                <pic:spPr>
                  <a:xfrm>
                    <a:off x="0" y="0"/>
                    <a:ext cx="952500" cy="457200"/>
                  </a:xfrm>
                  <a:prstGeom prst="rect">
                    <a:avLst/>
                  </a:prstGeom>
                  <a:ln/>
                </pic:spPr>
              </pic:pic>
            </a:graphicData>
          </a:graphic>
        </wp:anchor>
      </w:drawing>
    </w:r>
  </w:p>
  <w:p w14:paraId="0C5C88C9" w14:textId="71027F22" w:rsidR="00441BBF" w:rsidRDefault="00F46F8A">
    <w:pPr>
      <w:spacing w:after="0"/>
      <w:rPr>
        <w:rFonts w:ascii="Trebuchet MS" w:eastAsia="Trebuchet MS" w:hAnsi="Trebuchet MS" w:cs="Trebuchet MS"/>
        <w:b/>
        <w:color w:val="A6192E"/>
        <w:sz w:val="32"/>
        <w:szCs w:val="32"/>
      </w:rPr>
    </w:pPr>
    <w:r>
      <w:rPr>
        <w:rFonts w:ascii="Trebuchet MS" w:eastAsia="Trebuchet MS" w:hAnsi="Trebuchet MS" w:cs="Trebuchet MS"/>
        <w:b/>
        <w:color w:val="A6192E"/>
        <w:sz w:val="32"/>
        <w:szCs w:val="32"/>
      </w:rPr>
      <w:t xml:space="preserve">Questions and Answers from SFU Tri-Agency </w:t>
    </w:r>
  </w:p>
  <w:p w14:paraId="07D42D65" w14:textId="18664FFA" w:rsidR="00F46F8A" w:rsidRDefault="00F46F8A">
    <w:pPr>
      <w:spacing w:after="0"/>
      <w:rPr>
        <w:rFonts w:ascii="Trebuchet MS" w:eastAsia="Trebuchet MS" w:hAnsi="Trebuchet MS" w:cs="Trebuchet MS"/>
        <w:b/>
        <w:color w:val="434343"/>
        <w:sz w:val="32"/>
        <w:szCs w:val="32"/>
      </w:rPr>
    </w:pPr>
    <w:r>
      <w:rPr>
        <w:rFonts w:ascii="Trebuchet MS" w:eastAsia="Trebuchet MS" w:hAnsi="Trebuchet MS" w:cs="Trebuchet MS"/>
        <w:b/>
        <w:color w:val="A6192E"/>
        <w:sz w:val="32"/>
        <w:szCs w:val="32"/>
      </w:rPr>
      <w:t>Training Sessions</w:t>
    </w:r>
  </w:p>
  <w:p w14:paraId="54F83087" w14:textId="4E43205C" w:rsidR="00441BBF" w:rsidRDefault="00F46F8A">
    <w:pPr>
      <w:spacing w:after="0"/>
      <w:rPr>
        <w:rFonts w:ascii="Trebuchet MS" w:eastAsia="Trebuchet MS" w:hAnsi="Trebuchet MS" w:cs="Trebuchet MS"/>
        <w:b/>
        <w:color w:val="434343"/>
        <w:sz w:val="24"/>
        <w:szCs w:val="24"/>
      </w:rPr>
    </w:pPr>
    <w:r>
      <w:rPr>
        <w:rFonts w:ascii="Trebuchet MS" w:eastAsia="Trebuchet MS" w:hAnsi="Trebuchet MS" w:cs="Trebuchet MS"/>
        <w:color w:val="434343"/>
        <w:sz w:val="20"/>
        <w:szCs w:val="20"/>
      </w:rPr>
      <w:t>June 2020</w:t>
    </w:r>
  </w:p>
  <w:p w14:paraId="506A9D02" w14:textId="77777777" w:rsidR="00441BBF" w:rsidRDefault="00441BBF">
    <w:pPr>
      <w:spacing w:after="0"/>
      <w:rPr>
        <w:rFonts w:ascii="Trebuchet MS" w:eastAsia="Trebuchet MS" w:hAnsi="Trebuchet MS" w:cs="Trebuchet MS"/>
        <w:b/>
        <w:color w:val="434343"/>
        <w:sz w:val="24"/>
        <w:szCs w:val="24"/>
      </w:rPr>
    </w:pPr>
  </w:p>
  <w:p w14:paraId="25163A22" w14:textId="77777777" w:rsidR="00441BBF" w:rsidRDefault="00441BBF">
    <w:pPr>
      <w:spacing w:after="0"/>
      <w:rPr>
        <w:rFonts w:ascii="Trebuchet MS" w:eastAsia="Trebuchet MS" w:hAnsi="Trebuchet MS" w:cs="Trebuchet MS"/>
        <w:b/>
        <w:color w:val="434343"/>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12"/>
    <w:multiLevelType w:val="multilevel"/>
    <w:tmpl w:val="658049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1A47DB"/>
    <w:multiLevelType w:val="multilevel"/>
    <w:tmpl w:val="A4303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A60742"/>
    <w:multiLevelType w:val="hybridMultilevel"/>
    <w:tmpl w:val="377276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530A7C"/>
    <w:multiLevelType w:val="hybridMultilevel"/>
    <w:tmpl w:val="F8C091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6046BE"/>
    <w:multiLevelType w:val="multilevel"/>
    <w:tmpl w:val="68A872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23060D"/>
    <w:multiLevelType w:val="hybridMultilevel"/>
    <w:tmpl w:val="B752381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163DA6"/>
    <w:multiLevelType w:val="hybridMultilevel"/>
    <w:tmpl w:val="ED2AEE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AF7A11"/>
    <w:multiLevelType w:val="multilevel"/>
    <w:tmpl w:val="6B5C1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E27399"/>
    <w:multiLevelType w:val="hybridMultilevel"/>
    <w:tmpl w:val="2F564B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71A8B"/>
    <w:multiLevelType w:val="multilevel"/>
    <w:tmpl w:val="0BA04A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B3593A"/>
    <w:multiLevelType w:val="hybridMultilevel"/>
    <w:tmpl w:val="910263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6477F2"/>
    <w:multiLevelType w:val="multilevel"/>
    <w:tmpl w:val="AD960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280ED3"/>
    <w:multiLevelType w:val="hybridMultilevel"/>
    <w:tmpl w:val="AAF85F7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3B2616"/>
    <w:multiLevelType w:val="hybridMultilevel"/>
    <w:tmpl w:val="9ABED5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A00D26"/>
    <w:multiLevelType w:val="hybridMultilevel"/>
    <w:tmpl w:val="10447D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0"/>
  </w:num>
  <w:num w:numId="4">
    <w:abstractNumId w:val="4"/>
  </w:num>
  <w:num w:numId="5">
    <w:abstractNumId w:val="1"/>
  </w:num>
  <w:num w:numId="6">
    <w:abstractNumId w:val="11"/>
  </w:num>
  <w:num w:numId="7">
    <w:abstractNumId w:val="8"/>
  </w:num>
  <w:num w:numId="8">
    <w:abstractNumId w:val="6"/>
  </w:num>
  <w:num w:numId="9">
    <w:abstractNumId w:val="13"/>
  </w:num>
  <w:num w:numId="10">
    <w:abstractNumId w:val="3"/>
  </w:num>
  <w:num w:numId="11">
    <w:abstractNumId w:val="2"/>
  </w:num>
  <w:num w:numId="12">
    <w:abstractNumId w:val="10"/>
  </w:num>
  <w:num w:numId="13">
    <w:abstractNumId w:val="12"/>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BF"/>
    <w:rsid w:val="000C158C"/>
    <w:rsid w:val="000F0262"/>
    <w:rsid w:val="0017491E"/>
    <w:rsid w:val="00180261"/>
    <w:rsid w:val="00263151"/>
    <w:rsid w:val="00274EAC"/>
    <w:rsid w:val="00295346"/>
    <w:rsid w:val="002B0021"/>
    <w:rsid w:val="00320097"/>
    <w:rsid w:val="003515D9"/>
    <w:rsid w:val="003F17A2"/>
    <w:rsid w:val="00441BBF"/>
    <w:rsid w:val="00587A19"/>
    <w:rsid w:val="00590B6B"/>
    <w:rsid w:val="005C01BE"/>
    <w:rsid w:val="00682B40"/>
    <w:rsid w:val="00713C0C"/>
    <w:rsid w:val="00736A98"/>
    <w:rsid w:val="00803EFC"/>
    <w:rsid w:val="00832D3D"/>
    <w:rsid w:val="00AC23E1"/>
    <w:rsid w:val="00B64A63"/>
    <w:rsid w:val="00B90EBD"/>
    <w:rsid w:val="00BA7429"/>
    <w:rsid w:val="00C046A0"/>
    <w:rsid w:val="00C37BB7"/>
    <w:rsid w:val="00C37C31"/>
    <w:rsid w:val="00C70F03"/>
    <w:rsid w:val="00DB5950"/>
    <w:rsid w:val="00DE5493"/>
    <w:rsid w:val="00F46F8A"/>
    <w:rsid w:val="00F71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4981B"/>
  <w15:docId w15:val="{9D2E9931-BA16-9F4C-9A91-B5CED058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262"/>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Avenir" w:eastAsia="Avenir" w:hAnsi="Avenir" w:cs="Avenir"/>
      <w:b/>
      <w:sz w:val="24"/>
      <w:szCs w:val="24"/>
      <w:u w:val="single"/>
    </w:rPr>
  </w:style>
  <w:style w:type="paragraph" w:styleId="Subtitle">
    <w:name w:val="Subtitle"/>
    <w:basedOn w:val="Normal"/>
    <w:next w:val="Normal"/>
    <w:link w:val="SubtitleChar"/>
    <w:uiPriority w:val="11"/>
    <w:qFormat/>
    <w:pPr>
      <w:spacing w:after="60" w:line="240" w:lineRule="auto"/>
      <w:ind w:left="360"/>
    </w:pPr>
    <w:rPr>
      <w:rFonts w:ascii="Avenir" w:eastAsia="Avenir" w:hAnsi="Avenir" w:cs="Avenir"/>
      <w:b/>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customStyle="1" w:styleId="SubtitleChar">
    <w:name w:val="Subtitle Char"/>
    <w:basedOn w:val="DefaultParagraphFont"/>
    <w:link w:val="Subtitle"/>
    <w:uiPriority w:val="11"/>
    <w:rsid w:val="00BA7429"/>
    <w:rPr>
      <w:rFonts w:ascii="Avenir" w:eastAsia="Avenir" w:hAnsi="Avenir" w:cs="Avenir"/>
      <w:b/>
    </w:rPr>
  </w:style>
  <w:style w:type="table" w:styleId="TableGrid">
    <w:name w:val="Table Grid"/>
    <w:basedOn w:val="TableNormal"/>
    <w:uiPriority w:val="39"/>
    <w:rsid w:val="00BA7429"/>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6F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F8A"/>
  </w:style>
  <w:style w:type="paragraph" w:styleId="Footer">
    <w:name w:val="footer"/>
    <w:basedOn w:val="Normal"/>
    <w:link w:val="FooterChar"/>
    <w:uiPriority w:val="99"/>
    <w:unhideWhenUsed/>
    <w:rsid w:val="00F46F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F8A"/>
  </w:style>
  <w:style w:type="paragraph" w:styleId="ListParagraph">
    <w:name w:val="List Paragraph"/>
    <w:basedOn w:val="Normal"/>
    <w:uiPriority w:val="34"/>
    <w:qFormat/>
    <w:rsid w:val="00F46F8A"/>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agfa@sfu.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1480</Words>
  <Characters>8441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O'Grady</dc:creator>
  <cp:lastModifiedBy>Reeshma Devji</cp:lastModifiedBy>
  <cp:revision>9</cp:revision>
  <dcterms:created xsi:type="dcterms:W3CDTF">2020-06-22T22:49:00Z</dcterms:created>
  <dcterms:modified xsi:type="dcterms:W3CDTF">2020-06-25T22:12:00Z</dcterms:modified>
</cp:coreProperties>
</file>