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1EF8" w14:textId="77777777" w:rsidR="00BA13AD" w:rsidRPr="00217083" w:rsidRDefault="00BA13AD" w:rsidP="00BA13AD">
      <w:pPr>
        <w:pStyle w:val="Title"/>
      </w:pPr>
      <w:r w:rsidRPr="00217083">
        <w:t>VP Research (VPR) Travel Grants in the SS</w:t>
      </w:r>
      <w:r>
        <w:t xml:space="preserve"> </w:t>
      </w:r>
      <w:r w:rsidRPr="00217083">
        <w:t>&amp; H</w:t>
      </w:r>
      <w:r>
        <w:t>UM</w:t>
      </w:r>
    </w:p>
    <w:p w14:paraId="6D6ED04A" w14:textId="77777777" w:rsidR="00BA13AD" w:rsidRDefault="00BA13AD" w:rsidP="00BA13AD">
      <w:pPr>
        <w:pStyle w:val="Title"/>
      </w:pPr>
      <w:r w:rsidRPr="00025F12">
        <w:t xml:space="preserve">NORTH AMERICAN / INTERNATIONAL TRAVEL GRANT </w:t>
      </w:r>
    </w:p>
    <w:p w14:paraId="4F398BF6" w14:textId="77777777" w:rsidR="00BA13AD" w:rsidRDefault="00BA13AD" w:rsidP="00BA13AD">
      <w:pPr>
        <w:pStyle w:val="Title"/>
      </w:pPr>
      <w:r w:rsidRPr="00025F12">
        <w:t>GUIDELINES</w:t>
      </w:r>
    </w:p>
    <w:p w14:paraId="6DBB378D" w14:textId="77777777" w:rsidR="00BA13AD" w:rsidRPr="00C24082" w:rsidRDefault="00BA13AD" w:rsidP="00BA13AD">
      <w:pPr>
        <w:jc w:val="center"/>
        <w:rPr>
          <w:rFonts w:cs="Arial"/>
          <w:sz w:val="20"/>
          <w:szCs w:val="20"/>
        </w:rPr>
      </w:pPr>
    </w:p>
    <w:p w14:paraId="424F1E99" w14:textId="77777777" w:rsidR="00BA13AD" w:rsidRPr="00C24082" w:rsidRDefault="00BA13AD" w:rsidP="00BA13AD">
      <w:pPr>
        <w:rPr>
          <w:rFonts w:cs="Arial"/>
          <w:sz w:val="20"/>
          <w:szCs w:val="20"/>
        </w:rPr>
      </w:pPr>
      <w:r w:rsidRPr="00C24082">
        <w:rPr>
          <w:rFonts w:cs="Arial"/>
          <w:b/>
          <w:sz w:val="20"/>
          <w:szCs w:val="20"/>
        </w:rPr>
        <w:t>VP Research Travel Grants</w:t>
      </w:r>
      <w:r w:rsidRPr="00C24082">
        <w:rPr>
          <w:rFonts w:cs="Arial"/>
          <w:sz w:val="20"/>
          <w:szCs w:val="20"/>
        </w:rPr>
        <w:t xml:space="preserve"> are provided for faculty in areas supported by SSHRC to attend conferences to present a paper (including the presentation of a poster in a poster session), to serve as a keynote speaker or in the case of faculty in the School for the Contemporary Arts, to present one’s own creative work</w:t>
      </w:r>
      <w:r w:rsidRPr="00C24082">
        <w:rPr>
          <w:rStyle w:val="FootnoteReference"/>
          <w:rFonts w:cs="Arial"/>
          <w:sz w:val="20"/>
          <w:szCs w:val="20"/>
        </w:rPr>
        <w:footnoteReference w:id="1"/>
      </w:r>
      <w:r w:rsidRPr="00C24082">
        <w:rPr>
          <w:rFonts w:cs="Arial"/>
          <w:sz w:val="20"/>
          <w:szCs w:val="20"/>
        </w:rPr>
        <w:t xml:space="preserve"> to a peer group.</w:t>
      </w:r>
    </w:p>
    <w:p w14:paraId="7055AF84" w14:textId="77777777" w:rsidR="00BA13AD" w:rsidRPr="00C24082" w:rsidRDefault="00BA13AD" w:rsidP="00BA13AD">
      <w:pPr>
        <w:rPr>
          <w:rFonts w:cs="Arial"/>
          <w:sz w:val="20"/>
          <w:szCs w:val="20"/>
        </w:rPr>
      </w:pPr>
    </w:p>
    <w:p w14:paraId="223B564A" w14:textId="77777777" w:rsidR="00BA13AD" w:rsidRPr="00C24082" w:rsidRDefault="00BA13AD" w:rsidP="00BA13AD">
      <w:pPr>
        <w:rPr>
          <w:rFonts w:cs="Arial"/>
          <w:sz w:val="20"/>
          <w:szCs w:val="20"/>
        </w:rPr>
      </w:pPr>
      <w:r w:rsidRPr="00C24082">
        <w:rPr>
          <w:rFonts w:cs="Arial"/>
          <w:b/>
          <w:sz w:val="20"/>
          <w:szCs w:val="20"/>
        </w:rPr>
        <w:t xml:space="preserve">ELIGIBILITY </w:t>
      </w:r>
    </w:p>
    <w:p w14:paraId="596A07C2" w14:textId="77777777" w:rsidR="00BA13AD" w:rsidRPr="00C24082" w:rsidRDefault="00BA13AD" w:rsidP="00BA13AD">
      <w:pPr>
        <w:rPr>
          <w:rFonts w:cs="Arial"/>
          <w:sz w:val="20"/>
          <w:szCs w:val="20"/>
        </w:rPr>
      </w:pPr>
    </w:p>
    <w:p w14:paraId="53B88421" w14:textId="77777777" w:rsidR="00BA13AD" w:rsidRPr="0096698B" w:rsidRDefault="00BA13AD" w:rsidP="0096698B">
      <w:pPr>
        <w:pStyle w:val="ListParagraph"/>
        <w:numPr>
          <w:ilvl w:val="0"/>
          <w:numId w:val="20"/>
        </w:numPr>
        <w:ind w:left="360"/>
        <w:rPr>
          <w:rFonts w:cs="Arial"/>
          <w:sz w:val="20"/>
          <w:szCs w:val="20"/>
        </w:rPr>
      </w:pPr>
      <w:r w:rsidRPr="0096698B">
        <w:rPr>
          <w:rFonts w:cs="Arial"/>
          <w:sz w:val="20"/>
          <w:szCs w:val="20"/>
        </w:rPr>
        <w:t>Members of the University faculty appointed by the Board of Governors to positions that are tenured or lead to consideration for tenure in an academic Department, School, or Faculty.</w:t>
      </w:r>
    </w:p>
    <w:p w14:paraId="68B1B9FB" w14:textId="77777777" w:rsidR="00BA13AD" w:rsidRPr="00C24082" w:rsidRDefault="00BA13AD" w:rsidP="0096698B">
      <w:pPr>
        <w:rPr>
          <w:rFonts w:cs="Arial"/>
          <w:sz w:val="20"/>
          <w:szCs w:val="20"/>
        </w:rPr>
      </w:pPr>
    </w:p>
    <w:p w14:paraId="0538C3C7" w14:textId="77777777" w:rsidR="00BA13AD" w:rsidRPr="0096698B" w:rsidRDefault="00BA13AD" w:rsidP="0096698B">
      <w:pPr>
        <w:pStyle w:val="ListParagraph"/>
        <w:numPr>
          <w:ilvl w:val="0"/>
          <w:numId w:val="20"/>
        </w:numPr>
        <w:ind w:left="360"/>
        <w:rPr>
          <w:rFonts w:cs="Arial"/>
          <w:sz w:val="20"/>
          <w:szCs w:val="20"/>
        </w:rPr>
      </w:pPr>
      <w:r w:rsidRPr="0096698B">
        <w:rPr>
          <w:rFonts w:cs="Arial"/>
          <w:sz w:val="20"/>
          <w:szCs w:val="20"/>
        </w:rPr>
        <w:t>Special cases (e.g., Instructors, Laboratory Instructors, Lecturers,</w:t>
      </w:r>
      <w:r w:rsidR="00FD1140">
        <w:rPr>
          <w:rFonts w:cs="Arial"/>
          <w:sz w:val="20"/>
          <w:szCs w:val="20"/>
        </w:rPr>
        <w:t xml:space="preserve"> Librarians,</w:t>
      </w:r>
      <w:r w:rsidRPr="0096698B">
        <w:rPr>
          <w:rFonts w:cs="Arial"/>
          <w:sz w:val="20"/>
          <w:szCs w:val="20"/>
        </w:rPr>
        <w:t xml:space="preserve"> Professors Emeriti, Limited-term faculty, members of staff) may be individually designated eligible by the SFU/SSHRC Institutional Grants Committee based on their research record and ongoing relation to SFU.</w:t>
      </w:r>
    </w:p>
    <w:p w14:paraId="6DBB6ADA" w14:textId="77777777" w:rsidR="00BA13AD" w:rsidRPr="00D07C77" w:rsidRDefault="00BA13AD" w:rsidP="00D07C77">
      <w:pPr>
        <w:rPr>
          <w:rFonts w:cs="Arial"/>
          <w:sz w:val="20"/>
          <w:szCs w:val="20"/>
        </w:rPr>
      </w:pPr>
    </w:p>
    <w:p w14:paraId="49FF2AED" w14:textId="77777777" w:rsidR="00BA13AD" w:rsidRPr="0096698B" w:rsidRDefault="00BA13AD" w:rsidP="00D07C77">
      <w:pPr>
        <w:pStyle w:val="ListParagraph"/>
        <w:numPr>
          <w:ilvl w:val="0"/>
          <w:numId w:val="20"/>
        </w:numPr>
        <w:ind w:left="360"/>
        <w:rPr>
          <w:rFonts w:cs="Arial"/>
          <w:sz w:val="20"/>
          <w:szCs w:val="20"/>
        </w:rPr>
      </w:pPr>
      <w:r w:rsidRPr="0096698B">
        <w:rPr>
          <w:rFonts w:cs="Arial"/>
          <w:sz w:val="20"/>
          <w:szCs w:val="20"/>
        </w:rPr>
        <w:t>Those applicants who wish to have their eligibility considered must send a request by email to the Chair of the Committee at least one month prior to the submission of the grant application.  Special case applications (also called Priority 2 applications) will be considered for funding towards the end of each fiscal year.  Please note that funds for these applications are limited.</w:t>
      </w:r>
    </w:p>
    <w:p w14:paraId="5D1E9825" w14:textId="77777777" w:rsidR="00BA13AD" w:rsidRPr="00D07C77" w:rsidRDefault="00BA13AD" w:rsidP="00D07C77">
      <w:pPr>
        <w:rPr>
          <w:rFonts w:cs="Arial"/>
          <w:sz w:val="20"/>
          <w:szCs w:val="20"/>
        </w:rPr>
      </w:pPr>
    </w:p>
    <w:p w14:paraId="79BF994E" w14:textId="77777777" w:rsidR="00BA13AD" w:rsidRPr="0096698B" w:rsidRDefault="00BA13AD" w:rsidP="0096698B">
      <w:pPr>
        <w:pStyle w:val="ListParagraph"/>
        <w:numPr>
          <w:ilvl w:val="0"/>
          <w:numId w:val="20"/>
        </w:numPr>
        <w:ind w:left="360"/>
        <w:rPr>
          <w:rFonts w:cs="Arial"/>
          <w:sz w:val="20"/>
          <w:szCs w:val="20"/>
        </w:rPr>
      </w:pPr>
      <w:r w:rsidRPr="0096698B">
        <w:rPr>
          <w:rFonts w:cs="Arial"/>
          <w:sz w:val="20"/>
          <w:szCs w:val="20"/>
        </w:rPr>
        <w:t xml:space="preserve">Visiting faculty, Post-Doctoral Fellows, Sessional Instructors, graduate students, and Research Associates are </w:t>
      </w:r>
      <w:r w:rsidRPr="0096698B">
        <w:rPr>
          <w:rFonts w:cs="Arial"/>
          <w:b/>
          <w:sz w:val="20"/>
          <w:szCs w:val="20"/>
        </w:rPr>
        <w:t>not</w:t>
      </w:r>
      <w:r w:rsidRPr="0096698B">
        <w:rPr>
          <w:rFonts w:cs="Arial"/>
          <w:sz w:val="20"/>
          <w:szCs w:val="20"/>
        </w:rPr>
        <w:t xml:space="preserve"> eligible to receive grants.</w:t>
      </w:r>
    </w:p>
    <w:p w14:paraId="46694BAF" w14:textId="77777777" w:rsidR="00BA13AD" w:rsidRPr="00C24082" w:rsidRDefault="00BA13AD" w:rsidP="00BA13AD">
      <w:pPr>
        <w:rPr>
          <w:rFonts w:cs="Arial"/>
          <w:sz w:val="20"/>
          <w:szCs w:val="20"/>
        </w:rPr>
      </w:pPr>
    </w:p>
    <w:p w14:paraId="50894646" w14:textId="77777777" w:rsidR="00BA13AD" w:rsidRPr="00C24082" w:rsidRDefault="00BA13AD" w:rsidP="00BA13AD">
      <w:pPr>
        <w:rPr>
          <w:rFonts w:cs="Arial"/>
          <w:b/>
          <w:sz w:val="20"/>
          <w:szCs w:val="20"/>
        </w:rPr>
      </w:pPr>
      <w:r w:rsidRPr="00C24082">
        <w:rPr>
          <w:rFonts w:cs="Arial"/>
          <w:b/>
          <w:sz w:val="20"/>
          <w:szCs w:val="20"/>
        </w:rPr>
        <w:t>CONDITIONS ON TRAVEL GRANTS</w:t>
      </w:r>
    </w:p>
    <w:p w14:paraId="3D59D322" w14:textId="77777777" w:rsidR="00BA13AD" w:rsidRPr="00C24082" w:rsidRDefault="00BA13AD" w:rsidP="00BA13AD">
      <w:pPr>
        <w:rPr>
          <w:rFonts w:cs="Arial"/>
          <w:sz w:val="20"/>
          <w:szCs w:val="20"/>
        </w:rPr>
      </w:pPr>
    </w:p>
    <w:p w14:paraId="13D82F4F" w14:textId="77777777" w:rsidR="00E1342A" w:rsidRPr="00E1342A" w:rsidRDefault="00E1342A" w:rsidP="00E1342A">
      <w:pPr>
        <w:spacing w:before="120"/>
        <w:rPr>
          <w:rFonts w:cs="Arial"/>
          <w:b/>
          <w:bCs/>
          <w:sz w:val="20"/>
          <w:szCs w:val="21"/>
        </w:rPr>
      </w:pPr>
      <w:r w:rsidRPr="00E1342A">
        <w:rPr>
          <w:rFonts w:cs="Arial"/>
          <w:b/>
          <w:bCs/>
          <w:sz w:val="20"/>
          <w:szCs w:val="21"/>
          <w:u w:val="single"/>
        </w:rPr>
        <w:t>April 30. 2022:</w:t>
      </w:r>
      <w:r w:rsidRPr="00E1342A">
        <w:rPr>
          <w:rFonts w:cs="Arial"/>
          <w:b/>
          <w:bCs/>
          <w:sz w:val="20"/>
          <w:szCs w:val="21"/>
        </w:rPr>
        <w:t xml:space="preserve"> COVID-19 Travel related advisory: As per SFU’s </w:t>
      </w:r>
      <w:hyperlink r:id="rId8" w:history="1">
        <w:r w:rsidRPr="00E1342A">
          <w:rPr>
            <w:rStyle w:val="Hyperlink"/>
            <w:rFonts w:cs="Arial"/>
            <w:b/>
            <w:bCs/>
            <w:sz w:val="20"/>
            <w:szCs w:val="21"/>
          </w:rPr>
          <w:t>Interim University-Related International Travel Policy</w:t>
        </w:r>
      </w:hyperlink>
      <w:r w:rsidRPr="00E1342A">
        <w:rPr>
          <w:rFonts w:cs="Arial"/>
          <w:b/>
          <w:bCs/>
          <w:sz w:val="20"/>
          <w:szCs w:val="21"/>
        </w:rPr>
        <w:t xml:space="preserve">, eligible applicants must follow specific steps before submitting the final application to ORS. Please refer to </w:t>
      </w:r>
      <w:hyperlink r:id="rId9" w:history="1">
        <w:r w:rsidRPr="00E1342A">
          <w:rPr>
            <w:b/>
            <w:bCs/>
            <w:color w:val="0070C0"/>
            <w:sz w:val="20"/>
            <w:szCs w:val="21"/>
            <w:u w:val="single"/>
          </w:rPr>
          <w:t>Risk and Safety webpage</w:t>
        </w:r>
      </w:hyperlink>
      <w:r w:rsidRPr="00E1342A">
        <w:rPr>
          <w:rFonts w:cs="Arial"/>
          <w:b/>
          <w:bCs/>
          <w:color w:val="0070C0"/>
          <w:sz w:val="20"/>
          <w:szCs w:val="21"/>
        </w:rPr>
        <w:t xml:space="preserve"> </w:t>
      </w:r>
      <w:r w:rsidRPr="00E1342A">
        <w:rPr>
          <w:rFonts w:cs="Arial"/>
          <w:b/>
          <w:bCs/>
          <w:sz w:val="20"/>
          <w:szCs w:val="21"/>
        </w:rPr>
        <w:t>for more details.</w:t>
      </w:r>
    </w:p>
    <w:p w14:paraId="36BE8CA0" w14:textId="77777777" w:rsidR="00011A72" w:rsidRDefault="00011A72" w:rsidP="00BA13AD">
      <w:pPr>
        <w:rPr>
          <w:rFonts w:cs="Arial"/>
          <w:sz w:val="20"/>
          <w:szCs w:val="20"/>
        </w:rPr>
      </w:pPr>
    </w:p>
    <w:p w14:paraId="3A0581D0" w14:textId="4DD6711F" w:rsidR="00BA13AD" w:rsidRPr="00C24082" w:rsidRDefault="00BA13AD" w:rsidP="00BA13AD">
      <w:pPr>
        <w:rPr>
          <w:rFonts w:cs="Arial"/>
          <w:sz w:val="20"/>
          <w:szCs w:val="20"/>
        </w:rPr>
      </w:pPr>
      <w:r w:rsidRPr="00C24082">
        <w:rPr>
          <w:rFonts w:cs="Arial"/>
          <w:sz w:val="20"/>
          <w:szCs w:val="20"/>
        </w:rPr>
        <w:t>T</w:t>
      </w:r>
      <w:r w:rsidR="00A53CE7">
        <w:rPr>
          <w:rFonts w:cs="Arial"/>
          <w:sz w:val="20"/>
          <w:szCs w:val="20"/>
        </w:rPr>
        <w:t>ravel grants are limited to $900</w:t>
      </w:r>
      <w:r w:rsidRPr="00C24082">
        <w:rPr>
          <w:rFonts w:cs="Arial"/>
          <w:sz w:val="20"/>
          <w:szCs w:val="20"/>
        </w:rPr>
        <w:t xml:space="preserve"> for North American</w:t>
      </w:r>
      <w:r w:rsidRPr="00C24082">
        <w:rPr>
          <w:rStyle w:val="FootnoteReference"/>
          <w:rFonts w:cs="Arial"/>
          <w:sz w:val="20"/>
          <w:szCs w:val="20"/>
        </w:rPr>
        <w:footnoteReference w:id="2"/>
      </w:r>
      <w:r w:rsidR="00A53CE7">
        <w:rPr>
          <w:rFonts w:cs="Arial"/>
          <w:sz w:val="20"/>
          <w:szCs w:val="20"/>
        </w:rPr>
        <w:t xml:space="preserve"> travel and to $2</w:t>
      </w:r>
      <w:r w:rsidRPr="00C24082">
        <w:rPr>
          <w:rFonts w:cs="Arial"/>
          <w:sz w:val="20"/>
          <w:szCs w:val="20"/>
        </w:rPr>
        <w:t>,</w:t>
      </w:r>
      <w:r w:rsidR="00A53CE7">
        <w:rPr>
          <w:rFonts w:cs="Arial"/>
          <w:sz w:val="20"/>
          <w:szCs w:val="20"/>
        </w:rPr>
        <w:t>0</w:t>
      </w:r>
      <w:r w:rsidRPr="00C24082">
        <w:rPr>
          <w:rFonts w:cs="Arial"/>
          <w:sz w:val="20"/>
          <w:szCs w:val="20"/>
        </w:rPr>
        <w:t xml:space="preserve">00 for other travel.  They are awarded for transportation costs only (i.e. airfare and departure levy; and where required, train and/or bus).  Local travel costs (e.g. taxis, city buses), hotels, meals, and registration fees are not covered by the Travel Grant.  </w:t>
      </w:r>
      <w:r w:rsidRPr="00C24082">
        <w:rPr>
          <w:rFonts w:cs="Arial"/>
          <w:b/>
          <w:sz w:val="20"/>
          <w:szCs w:val="20"/>
        </w:rPr>
        <w:t>Faculty members are considered eligible to apply for one conference every second fiscal year.</w:t>
      </w:r>
      <w:r w:rsidRPr="00C24082">
        <w:rPr>
          <w:rFonts w:cs="Arial"/>
          <w:sz w:val="20"/>
          <w:szCs w:val="20"/>
        </w:rPr>
        <w:t xml:space="preserve">  Applications from “special case” applicants (see eligibility) will be considered towards the end of the fiscal year.  In the case of joint authorship, only one presenter will be funded.</w:t>
      </w:r>
    </w:p>
    <w:p w14:paraId="0051E6D4" w14:textId="77777777" w:rsidR="00BA13AD" w:rsidRPr="00C24082" w:rsidRDefault="00BA13AD" w:rsidP="00BA13AD">
      <w:pPr>
        <w:rPr>
          <w:rFonts w:cs="Arial"/>
          <w:sz w:val="20"/>
          <w:szCs w:val="20"/>
        </w:rPr>
      </w:pPr>
    </w:p>
    <w:p w14:paraId="6110F375" w14:textId="77777777" w:rsidR="00BA13AD" w:rsidRPr="00C24082" w:rsidRDefault="00BA13AD" w:rsidP="00BA13AD">
      <w:pPr>
        <w:rPr>
          <w:rFonts w:cs="Arial"/>
          <w:sz w:val="20"/>
          <w:szCs w:val="20"/>
        </w:rPr>
      </w:pPr>
      <w:r w:rsidRPr="00C24082">
        <w:rPr>
          <w:rFonts w:cs="Arial"/>
          <w:b/>
          <w:sz w:val="20"/>
          <w:szCs w:val="20"/>
        </w:rPr>
        <w:t>APPLICATION PROCEDURES</w:t>
      </w:r>
    </w:p>
    <w:p w14:paraId="6258C24B" w14:textId="77777777" w:rsidR="00BA13AD" w:rsidRPr="00C24082" w:rsidRDefault="00BA13AD" w:rsidP="00BA13AD">
      <w:pPr>
        <w:rPr>
          <w:rFonts w:cs="Arial"/>
          <w:sz w:val="20"/>
          <w:szCs w:val="20"/>
        </w:rPr>
      </w:pPr>
    </w:p>
    <w:p w14:paraId="0222A9F7" w14:textId="0A587D47" w:rsidR="00BA13AD" w:rsidRPr="00C24082" w:rsidRDefault="00BA13AD" w:rsidP="00BA13AD">
      <w:pPr>
        <w:rPr>
          <w:rFonts w:cs="Arial"/>
          <w:sz w:val="20"/>
          <w:szCs w:val="20"/>
        </w:rPr>
      </w:pPr>
      <w:r w:rsidRPr="00C24082">
        <w:rPr>
          <w:rFonts w:cs="Arial"/>
          <w:sz w:val="20"/>
          <w:szCs w:val="20"/>
        </w:rPr>
        <w:t xml:space="preserve">Travel grants funds are divided into two pools for each fiscal year:  </w:t>
      </w:r>
      <w:r w:rsidRPr="00C24082">
        <w:rPr>
          <w:rFonts w:cs="Arial"/>
          <w:b/>
          <w:sz w:val="20"/>
          <w:szCs w:val="20"/>
        </w:rPr>
        <w:t xml:space="preserve">Pool 1 </w:t>
      </w:r>
      <w:r w:rsidRPr="00C24082">
        <w:rPr>
          <w:rFonts w:cs="Arial"/>
          <w:sz w:val="20"/>
          <w:szCs w:val="20"/>
        </w:rPr>
        <w:t xml:space="preserve">for conferences taking place between </w:t>
      </w:r>
      <w:r w:rsidR="00E1342A">
        <w:rPr>
          <w:rFonts w:cs="Arial"/>
          <w:sz w:val="20"/>
          <w:szCs w:val="20"/>
        </w:rPr>
        <w:t>April 1</w:t>
      </w:r>
      <w:r w:rsidR="004710A7">
        <w:rPr>
          <w:rFonts w:cs="Arial"/>
          <w:sz w:val="20"/>
          <w:szCs w:val="20"/>
        </w:rPr>
        <w:t xml:space="preserve">, </w:t>
      </w:r>
      <w:r w:rsidRPr="00C24082">
        <w:rPr>
          <w:rFonts w:cs="Arial"/>
          <w:sz w:val="20"/>
          <w:szCs w:val="20"/>
        </w:rPr>
        <w:t xml:space="preserve">and August 31; </w:t>
      </w:r>
      <w:r w:rsidRPr="00C24082">
        <w:rPr>
          <w:rFonts w:cs="Arial"/>
          <w:b/>
          <w:sz w:val="20"/>
          <w:szCs w:val="20"/>
        </w:rPr>
        <w:t>Pool 2</w:t>
      </w:r>
      <w:r w:rsidRPr="00C24082">
        <w:rPr>
          <w:rFonts w:cs="Arial"/>
          <w:sz w:val="20"/>
          <w:szCs w:val="20"/>
        </w:rPr>
        <w:t xml:space="preserve"> for conferences taking place between September 1</w:t>
      </w:r>
      <w:r w:rsidR="004710A7">
        <w:rPr>
          <w:rFonts w:cs="Arial"/>
          <w:sz w:val="20"/>
          <w:szCs w:val="20"/>
        </w:rPr>
        <w:t xml:space="preserve"> </w:t>
      </w:r>
      <w:r w:rsidRPr="00C24082">
        <w:rPr>
          <w:rFonts w:cs="Arial"/>
          <w:sz w:val="20"/>
          <w:szCs w:val="20"/>
        </w:rPr>
        <w:t xml:space="preserve">and March 31.  Applicants must use the current version of the application form, available on the ORS website.  Completed applications, including Chair’s evaluations, are sent electronically to </w:t>
      </w:r>
      <w:hyperlink r:id="rId10" w:history="1">
        <w:r w:rsidRPr="00C24082">
          <w:rPr>
            <w:rStyle w:val="Hyperlink"/>
            <w:rFonts w:cs="Arial"/>
            <w:sz w:val="20"/>
            <w:szCs w:val="20"/>
          </w:rPr>
          <w:t>ors@sfu.ca</w:t>
        </w:r>
      </w:hyperlink>
      <w:r w:rsidRPr="00C24082">
        <w:rPr>
          <w:rFonts w:cs="Arial"/>
          <w:sz w:val="20"/>
          <w:szCs w:val="20"/>
        </w:rPr>
        <w:t xml:space="preserve">, </w:t>
      </w:r>
      <w:r w:rsidRPr="00C24082">
        <w:rPr>
          <w:rFonts w:cs="Arial"/>
          <w:b/>
          <w:sz w:val="20"/>
          <w:szCs w:val="20"/>
        </w:rPr>
        <w:t xml:space="preserve">at least two weeks in advance of the conference.  </w:t>
      </w:r>
      <w:r w:rsidRPr="00C24082">
        <w:rPr>
          <w:rFonts w:cs="Arial"/>
          <w:sz w:val="20"/>
          <w:szCs w:val="20"/>
        </w:rPr>
        <w:t xml:space="preserve">Applicants should allow sufficient time for their Department Chair to evaluate their application. </w:t>
      </w:r>
      <w:r w:rsidRPr="00C24082">
        <w:rPr>
          <w:rFonts w:cs="Arial"/>
          <w:b/>
          <w:sz w:val="20"/>
          <w:szCs w:val="20"/>
        </w:rPr>
        <w:t xml:space="preserve"> Eligible and complete applications are reviewed and funded on a first-come basis.  Late applications will not be accepted and returned.  Incomplete applications will be returned to the applicant for completion and resubmission.</w:t>
      </w:r>
    </w:p>
    <w:p w14:paraId="06DF1FBB" w14:textId="77777777" w:rsidR="00BA13AD" w:rsidRPr="00C24082" w:rsidRDefault="00BA13AD" w:rsidP="00BA13AD">
      <w:pPr>
        <w:rPr>
          <w:rFonts w:cs="Arial"/>
          <w:b/>
          <w:sz w:val="20"/>
          <w:szCs w:val="20"/>
        </w:rPr>
      </w:pPr>
    </w:p>
    <w:p w14:paraId="38D108DA" w14:textId="77777777" w:rsidR="00BA13AD" w:rsidRPr="00C24082" w:rsidRDefault="00BA13AD" w:rsidP="00BA13AD">
      <w:pPr>
        <w:rPr>
          <w:rFonts w:cs="Arial"/>
          <w:sz w:val="20"/>
          <w:szCs w:val="20"/>
        </w:rPr>
      </w:pPr>
      <w:r w:rsidRPr="00C24082">
        <w:rPr>
          <w:rFonts w:cs="Arial"/>
          <w:sz w:val="20"/>
          <w:szCs w:val="20"/>
        </w:rPr>
        <w:t>Applications are adjudicated by the SFU/SSHRC Institutional Grants Committee Chair, with the Research Grants Manager in the Office of Research Services serving as Secretary.</w:t>
      </w:r>
    </w:p>
    <w:p w14:paraId="464D5B58" w14:textId="77777777" w:rsidR="00BA13AD" w:rsidRPr="00C24082" w:rsidRDefault="00BA13AD" w:rsidP="00BA13AD">
      <w:pPr>
        <w:rPr>
          <w:rFonts w:cs="Arial"/>
          <w:sz w:val="20"/>
          <w:szCs w:val="20"/>
        </w:rPr>
      </w:pPr>
    </w:p>
    <w:p w14:paraId="20B60674" w14:textId="77777777" w:rsidR="00BA13AD" w:rsidRPr="00C24082" w:rsidRDefault="00BA13AD" w:rsidP="00BA13AD">
      <w:pPr>
        <w:rPr>
          <w:rFonts w:cs="Arial"/>
          <w:sz w:val="20"/>
          <w:szCs w:val="20"/>
        </w:rPr>
      </w:pPr>
      <w:r w:rsidRPr="00C24082">
        <w:rPr>
          <w:rFonts w:cs="Arial"/>
          <w:sz w:val="20"/>
          <w:szCs w:val="20"/>
          <w:u w:val="single"/>
        </w:rPr>
        <w:t>Applications must be complete</w:t>
      </w:r>
      <w:r w:rsidRPr="00C24082">
        <w:rPr>
          <w:rFonts w:cs="Arial"/>
          <w:sz w:val="20"/>
          <w:szCs w:val="20"/>
        </w:rPr>
        <w:t xml:space="preserve"> and contain the following documentation:</w:t>
      </w:r>
    </w:p>
    <w:p w14:paraId="02224E8F" w14:textId="28476F34" w:rsidR="00BA13AD" w:rsidRPr="00C24082" w:rsidRDefault="00BA13AD" w:rsidP="00BA13AD">
      <w:pPr>
        <w:numPr>
          <w:ilvl w:val="0"/>
          <w:numId w:val="18"/>
        </w:numPr>
        <w:rPr>
          <w:rFonts w:cs="Arial"/>
          <w:sz w:val="20"/>
          <w:szCs w:val="20"/>
        </w:rPr>
      </w:pPr>
      <w:r w:rsidRPr="00C24082">
        <w:rPr>
          <w:rFonts w:cs="Arial"/>
          <w:sz w:val="20"/>
          <w:szCs w:val="20"/>
        </w:rPr>
        <w:t xml:space="preserve">SFU Research Funding Application </w:t>
      </w:r>
      <w:hyperlink r:id="rId11" w:history="1">
        <w:r w:rsidRPr="00C24082">
          <w:rPr>
            <w:rStyle w:val="Hyperlink"/>
            <w:rFonts w:cs="Arial"/>
            <w:sz w:val="20"/>
            <w:szCs w:val="20"/>
          </w:rPr>
          <w:t>Signature Sheet</w:t>
        </w:r>
      </w:hyperlink>
      <w:r w:rsidRPr="00C24082">
        <w:rPr>
          <w:rFonts w:cs="Arial"/>
          <w:sz w:val="20"/>
          <w:szCs w:val="20"/>
        </w:rPr>
        <w:t xml:space="preserve">; </w:t>
      </w:r>
    </w:p>
    <w:p w14:paraId="792C832F" w14:textId="77777777" w:rsidR="00BA13AD" w:rsidRPr="00C24082" w:rsidRDefault="00BA13AD" w:rsidP="00BA13AD">
      <w:pPr>
        <w:numPr>
          <w:ilvl w:val="0"/>
          <w:numId w:val="18"/>
        </w:numPr>
        <w:rPr>
          <w:rFonts w:cs="Arial"/>
          <w:sz w:val="20"/>
          <w:szCs w:val="20"/>
        </w:rPr>
      </w:pPr>
      <w:r w:rsidRPr="00C24082">
        <w:rPr>
          <w:rFonts w:cs="Arial"/>
          <w:sz w:val="20"/>
          <w:szCs w:val="20"/>
        </w:rPr>
        <w:t>Application form;</w:t>
      </w:r>
    </w:p>
    <w:p w14:paraId="3BB1ADF8" w14:textId="77777777" w:rsidR="00BA13AD" w:rsidRPr="00C24082" w:rsidRDefault="00BA13AD" w:rsidP="00BA13AD">
      <w:pPr>
        <w:numPr>
          <w:ilvl w:val="0"/>
          <w:numId w:val="18"/>
        </w:numPr>
        <w:rPr>
          <w:rFonts w:cs="Arial"/>
          <w:sz w:val="20"/>
          <w:szCs w:val="20"/>
        </w:rPr>
      </w:pPr>
      <w:r w:rsidRPr="00C24082">
        <w:rPr>
          <w:rFonts w:cs="Arial"/>
          <w:sz w:val="20"/>
          <w:szCs w:val="20"/>
        </w:rPr>
        <w:lastRenderedPageBreak/>
        <w:t>Chair’s evaluation;</w:t>
      </w:r>
    </w:p>
    <w:p w14:paraId="2A6BD24B" w14:textId="77777777" w:rsidR="00BA13AD" w:rsidRPr="00C24082" w:rsidRDefault="00BA13AD" w:rsidP="00BA13AD">
      <w:pPr>
        <w:numPr>
          <w:ilvl w:val="0"/>
          <w:numId w:val="18"/>
        </w:numPr>
        <w:rPr>
          <w:rFonts w:cs="Arial"/>
          <w:sz w:val="20"/>
          <w:szCs w:val="20"/>
        </w:rPr>
      </w:pPr>
      <w:r w:rsidRPr="00C24082">
        <w:rPr>
          <w:rFonts w:cs="Arial"/>
          <w:sz w:val="20"/>
          <w:szCs w:val="20"/>
        </w:rPr>
        <w:t>Confirmation from the Conference Organizer that your paper has been accepted;</w:t>
      </w:r>
    </w:p>
    <w:p w14:paraId="056F60DD" w14:textId="77777777" w:rsidR="00AE7BDB" w:rsidRDefault="00BA13AD" w:rsidP="00BA13AD">
      <w:pPr>
        <w:numPr>
          <w:ilvl w:val="0"/>
          <w:numId w:val="18"/>
        </w:numPr>
        <w:rPr>
          <w:rFonts w:cs="Arial"/>
          <w:sz w:val="20"/>
          <w:szCs w:val="20"/>
        </w:rPr>
      </w:pPr>
      <w:r w:rsidRPr="00C24082">
        <w:rPr>
          <w:rFonts w:cs="Arial"/>
          <w:sz w:val="20"/>
          <w:szCs w:val="20"/>
        </w:rPr>
        <w:t>Abstract of your paper.  Applicants are advised to apply as early as possible after confirmation of acceptance at the conference.</w:t>
      </w:r>
    </w:p>
    <w:p w14:paraId="1CE3BB0E" w14:textId="77777777" w:rsidR="00951F92" w:rsidRDefault="00951F92" w:rsidP="00AE7BDB"/>
    <w:p w14:paraId="7870606B" w14:textId="77777777" w:rsidR="00AE7BDB" w:rsidRPr="006571E0" w:rsidRDefault="00AE7BDB" w:rsidP="00AE7BDB">
      <w:pPr>
        <w:rPr>
          <w:b/>
          <w:sz w:val="20"/>
          <w:szCs w:val="20"/>
          <w:lang w:val="en-US"/>
        </w:rPr>
      </w:pPr>
      <w:r w:rsidRPr="006571E0">
        <w:rPr>
          <w:b/>
          <w:sz w:val="20"/>
          <w:szCs w:val="20"/>
          <w:lang w:val="en-US"/>
        </w:rPr>
        <w:t>NOTIFICATION OF RESULTS</w:t>
      </w:r>
    </w:p>
    <w:p w14:paraId="0A2FE58E" w14:textId="77777777" w:rsidR="00AE7BDB" w:rsidRPr="006571E0" w:rsidRDefault="00AE7BDB" w:rsidP="00AE7BDB">
      <w:pPr>
        <w:rPr>
          <w:b/>
          <w:sz w:val="20"/>
          <w:szCs w:val="20"/>
          <w:lang w:val="en-US"/>
        </w:rPr>
      </w:pPr>
    </w:p>
    <w:p w14:paraId="6A8635A6" w14:textId="77777777" w:rsidR="00AE7BDB" w:rsidRPr="006571E0" w:rsidRDefault="00AE7BDB" w:rsidP="00AE7BDB">
      <w:pPr>
        <w:rPr>
          <w:sz w:val="20"/>
          <w:szCs w:val="20"/>
          <w:lang w:val="en-US"/>
        </w:rPr>
      </w:pPr>
      <w:r w:rsidRPr="006571E0">
        <w:rPr>
          <w:sz w:val="20"/>
          <w:szCs w:val="20"/>
          <w:lang w:val="en-US"/>
        </w:rPr>
        <w:t>Notification letters will be sent out to the applicant and Chair shortly after the Committee Chair has considered the application.  However, applicants may phone or email the Committee Secretary to learn whether or not their application has been successful.</w:t>
      </w:r>
    </w:p>
    <w:p w14:paraId="39C522EE" w14:textId="77777777" w:rsidR="00AE7BDB" w:rsidRPr="006571E0" w:rsidRDefault="00AE7BDB" w:rsidP="00AE7BDB">
      <w:pPr>
        <w:rPr>
          <w:sz w:val="20"/>
          <w:szCs w:val="20"/>
          <w:lang w:val="en-US"/>
        </w:rPr>
      </w:pPr>
    </w:p>
    <w:p w14:paraId="5AD9E771" w14:textId="77777777" w:rsidR="00AE7BDB" w:rsidRPr="006571E0" w:rsidRDefault="00AE7BDB" w:rsidP="00AE7BDB">
      <w:pPr>
        <w:rPr>
          <w:sz w:val="20"/>
          <w:szCs w:val="20"/>
          <w:lang w:val="en-US"/>
        </w:rPr>
      </w:pPr>
      <w:r w:rsidRPr="006571E0">
        <w:rPr>
          <w:sz w:val="20"/>
          <w:szCs w:val="20"/>
          <w:lang w:val="en-US"/>
        </w:rPr>
        <w:t>In the event that a pool’s funding is fully allocated by the time an application is received, the application will automatically be considered as a priority 2 application in the subsequent pool.</w:t>
      </w:r>
    </w:p>
    <w:p w14:paraId="7490B1DD" w14:textId="77777777" w:rsidR="00AE7BDB" w:rsidRPr="006571E0" w:rsidRDefault="00AE7BDB" w:rsidP="00AE7BDB">
      <w:pPr>
        <w:rPr>
          <w:sz w:val="20"/>
          <w:szCs w:val="20"/>
          <w:lang w:val="en-US"/>
        </w:rPr>
      </w:pPr>
    </w:p>
    <w:p w14:paraId="6E0466FD" w14:textId="77777777" w:rsidR="00AE7BDB" w:rsidRPr="006571E0" w:rsidRDefault="00AE7BDB" w:rsidP="00AE7BDB">
      <w:pPr>
        <w:rPr>
          <w:sz w:val="20"/>
          <w:szCs w:val="20"/>
          <w:lang w:val="en-US"/>
        </w:rPr>
      </w:pPr>
      <w:r w:rsidRPr="006571E0">
        <w:rPr>
          <w:sz w:val="20"/>
          <w:szCs w:val="20"/>
          <w:lang w:val="en-US"/>
        </w:rPr>
        <w:t xml:space="preserve">In the event that the traveler is </w:t>
      </w:r>
      <w:r w:rsidRPr="006571E0">
        <w:rPr>
          <w:b/>
          <w:sz w:val="20"/>
          <w:szCs w:val="20"/>
          <w:lang w:val="en-US"/>
        </w:rPr>
        <w:t>unable to attend the conference</w:t>
      </w:r>
      <w:r w:rsidRPr="006571E0">
        <w:rPr>
          <w:sz w:val="20"/>
          <w:szCs w:val="20"/>
          <w:lang w:val="en-US"/>
        </w:rPr>
        <w:t xml:space="preserve"> for which a VP Research Travel grant was received, email must be sent promptly to the Committee Secretary.  Upon communicating the inability to attend, the grantee will be eligible to reapply at a later date for another conference.  Grantees who do not inform the Committee’s Secretary of their inability to attend the conference will be ineligible to reapply to the fund until the second fiscal year following.</w:t>
      </w:r>
    </w:p>
    <w:p w14:paraId="39EFF3EB" w14:textId="77777777" w:rsidR="00AE7BDB" w:rsidRPr="006571E0" w:rsidRDefault="00AE7BDB" w:rsidP="00AE7BDB">
      <w:pPr>
        <w:rPr>
          <w:sz w:val="20"/>
          <w:szCs w:val="20"/>
          <w:lang w:val="en-US"/>
        </w:rPr>
      </w:pPr>
    </w:p>
    <w:p w14:paraId="456D4986" w14:textId="77777777" w:rsidR="00AE7BDB" w:rsidRPr="006571E0" w:rsidRDefault="00AE7BDB" w:rsidP="00AE7BDB">
      <w:pPr>
        <w:rPr>
          <w:b/>
          <w:sz w:val="20"/>
          <w:szCs w:val="20"/>
          <w:lang w:val="en-US"/>
        </w:rPr>
      </w:pPr>
      <w:r w:rsidRPr="006571E0">
        <w:rPr>
          <w:b/>
          <w:sz w:val="20"/>
          <w:szCs w:val="20"/>
          <w:lang w:val="en-US"/>
        </w:rPr>
        <w:t>AWARD ADMINISTRATION</w:t>
      </w:r>
    </w:p>
    <w:p w14:paraId="0CAA7AA4" w14:textId="77777777" w:rsidR="00AE7BDB" w:rsidRPr="006571E0" w:rsidRDefault="00AE7BDB" w:rsidP="00AE7BDB">
      <w:pPr>
        <w:rPr>
          <w:b/>
          <w:sz w:val="20"/>
          <w:szCs w:val="20"/>
          <w:lang w:val="en-US"/>
        </w:rPr>
      </w:pPr>
    </w:p>
    <w:p w14:paraId="032F9AB5" w14:textId="77777777" w:rsidR="00AE7BDB" w:rsidRPr="006571E0" w:rsidRDefault="00AE7BDB" w:rsidP="00AE7BDB">
      <w:pPr>
        <w:rPr>
          <w:sz w:val="20"/>
          <w:szCs w:val="20"/>
          <w:lang w:val="en-US"/>
        </w:rPr>
      </w:pPr>
      <w:r w:rsidRPr="006571E0">
        <w:rPr>
          <w:sz w:val="20"/>
          <w:szCs w:val="20"/>
          <w:lang w:val="en-US"/>
        </w:rPr>
        <w:t>The academic department of the grantee is responsible for the administration of the funds according to normal university travel policies and procedures.  Travel Grants are awarded only for the purpose of the travel specified in the application.</w:t>
      </w:r>
    </w:p>
    <w:p w14:paraId="544EBCE9" w14:textId="77777777" w:rsidR="00AE7BDB" w:rsidRPr="006571E0" w:rsidRDefault="00AE7BDB" w:rsidP="00AE7BDB">
      <w:pPr>
        <w:rPr>
          <w:sz w:val="20"/>
          <w:szCs w:val="20"/>
          <w:lang w:val="en-US"/>
        </w:rPr>
      </w:pPr>
    </w:p>
    <w:p w14:paraId="6BB22876" w14:textId="77777777" w:rsidR="00AE7BDB" w:rsidRPr="006571E0" w:rsidRDefault="00AE7BDB" w:rsidP="00AE7BDB">
      <w:pPr>
        <w:rPr>
          <w:b/>
          <w:sz w:val="20"/>
          <w:szCs w:val="20"/>
          <w:lang w:val="en-US"/>
        </w:rPr>
      </w:pPr>
      <w:proofErr w:type="spellStart"/>
      <w:r w:rsidRPr="006571E0">
        <w:rPr>
          <w:b/>
          <w:sz w:val="20"/>
          <w:szCs w:val="20"/>
          <w:lang w:val="en-US"/>
        </w:rPr>
        <w:t>i</w:t>
      </w:r>
      <w:proofErr w:type="spellEnd"/>
      <w:r w:rsidRPr="006571E0">
        <w:rPr>
          <w:b/>
          <w:sz w:val="20"/>
          <w:szCs w:val="20"/>
          <w:lang w:val="en-US"/>
        </w:rPr>
        <w:t>) Traveler Information:</w:t>
      </w:r>
    </w:p>
    <w:p w14:paraId="2CC72457" w14:textId="77777777" w:rsidR="00AE7BDB" w:rsidRPr="006571E0" w:rsidRDefault="00AE7BDB" w:rsidP="00AE7BDB">
      <w:pPr>
        <w:rPr>
          <w:sz w:val="20"/>
          <w:szCs w:val="20"/>
          <w:lang w:val="en-US"/>
        </w:rPr>
      </w:pPr>
    </w:p>
    <w:p w14:paraId="6EC9DF9D" w14:textId="77777777" w:rsidR="00AE7BDB" w:rsidRPr="006571E0" w:rsidRDefault="00AE7BDB" w:rsidP="00AE7BDB">
      <w:pPr>
        <w:rPr>
          <w:sz w:val="20"/>
          <w:szCs w:val="20"/>
          <w:lang w:val="en-US"/>
        </w:rPr>
      </w:pPr>
      <w:r w:rsidRPr="006571E0">
        <w:rPr>
          <w:sz w:val="20"/>
          <w:szCs w:val="20"/>
          <w:lang w:val="en-US"/>
        </w:rPr>
        <w:t xml:space="preserve">According to the terms of the University’s Travel and Business Expense Policy, AD 3-2, travelers are encouraged to book air tickets as far in advance as possible, to take advantage of lower airfares.  Air travel must be claimed at the lowest rate available, not to exceed full economy fare. </w:t>
      </w:r>
    </w:p>
    <w:p w14:paraId="51948B36" w14:textId="77777777" w:rsidR="00AE7BDB" w:rsidRPr="006571E0" w:rsidRDefault="00AE7BDB" w:rsidP="00AE7BDB">
      <w:pPr>
        <w:rPr>
          <w:sz w:val="20"/>
          <w:szCs w:val="20"/>
          <w:lang w:val="en-US"/>
        </w:rPr>
      </w:pPr>
    </w:p>
    <w:p w14:paraId="4AAD7627" w14:textId="77777777" w:rsidR="00AE7BDB" w:rsidRPr="006571E0" w:rsidRDefault="00AE7BDB" w:rsidP="00AE7BDB">
      <w:pPr>
        <w:rPr>
          <w:sz w:val="20"/>
          <w:szCs w:val="20"/>
          <w:lang w:val="en-US"/>
        </w:rPr>
      </w:pPr>
      <w:r w:rsidRPr="006571E0">
        <w:rPr>
          <w:sz w:val="20"/>
          <w:szCs w:val="20"/>
          <w:lang w:val="en-US"/>
        </w:rPr>
        <w:t>Air travel funded through the University is insured by the University, it is not necessary to purchase additional trip cancellation insurance for any ticket funded through this program.</w:t>
      </w:r>
    </w:p>
    <w:p w14:paraId="7B9A8058" w14:textId="77777777" w:rsidR="00AE7BDB" w:rsidRPr="006571E0" w:rsidRDefault="00AE7BDB" w:rsidP="00AE7BDB">
      <w:pPr>
        <w:rPr>
          <w:sz w:val="20"/>
          <w:szCs w:val="20"/>
          <w:lang w:val="en-US"/>
        </w:rPr>
      </w:pPr>
    </w:p>
    <w:p w14:paraId="713AA96D" w14:textId="77777777" w:rsidR="00AE7BDB" w:rsidRPr="006571E0" w:rsidRDefault="00AE7BDB" w:rsidP="00AE7BDB">
      <w:pPr>
        <w:rPr>
          <w:sz w:val="20"/>
          <w:szCs w:val="20"/>
          <w:lang w:val="en-US"/>
        </w:rPr>
      </w:pPr>
      <w:r w:rsidRPr="006571E0">
        <w:rPr>
          <w:sz w:val="20"/>
          <w:szCs w:val="20"/>
          <w:lang w:val="en-US"/>
        </w:rPr>
        <w:t xml:space="preserve">Travelers must </w:t>
      </w:r>
      <w:r w:rsidRPr="006571E0">
        <w:rPr>
          <w:sz w:val="20"/>
          <w:szCs w:val="20"/>
          <w:u w:val="single"/>
          <w:lang w:val="en-US"/>
        </w:rPr>
        <w:t>not</w:t>
      </w:r>
      <w:r w:rsidRPr="006571E0">
        <w:rPr>
          <w:sz w:val="20"/>
          <w:szCs w:val="20"/>
          <w:lang w:val="en-US"/>
        </w:rPr>
        <w:t xml:space="preserve"> pay for airfare with air-miles points.  SFU cannot reimburse airfares which are paid with air-miles points.</w:t>
      </w:r>
    </w:p>
    <w:p w14:paraId="7282A55E" w14:textId="77777777" w:rsidR="00AE7BDB" w:rsidRPr="006571E0" w:rsidRDefault="00AE7BDB" w:rsidP="00AE7BDB">
      <w:pPr>
        <w:rPr>
          <w:sz w:val="20"/>
          <w:szCs w:val="20"/>
          <w:lang w:val="en-US"/>
        </w:rPr>
      </w:pPr>
    </w:p>
    <w:p w14:paraId="190F0136" w14:textId="77777777" w:rsidR="00AE7BDB" w:rsidRPr="006571E0" w:rsidRDefault="00AE7BDB" w:rsidP="00AE7BDB">
      <w:pPr>
        <w:rPr>
          <w:b/>
          <w:sz w:val="20"/>
          <w:szCs w:val="20"/>
          <w:lang w:val="en-US"/>
        </w:rPr>
      </w:pPr>
      <w:r w:rsidRPr="006571E0">
        <w:rPr>
          <w:sz w:val="20"/>
          <w:szCs w:val="20"/>
          <w:lang w:val="en-US"/>
        </w:rPr>
        <w:t xml:space="preserve">Reimbursement to the traveler for receipted expenditures will occur through normal departmental channels using the University’s Travel and Business Expense Claim form.  </w:t>
      </w:r>
      <w:r w:rsidRPr="006571E0">
        <w:rPr>
          <w:b/>
          <w:sz w:val="20"/>
          <w:szCs w:val="20"/>
          <w:lang w:val="en-US"/>
        </w:rPr>
        <w:t>Travelers are required to provide their departments with their travel receipts as soon as possible because the department must submit the claim for reimbursement within two months following the conference date.  Without extenuating circumstances, failure to do so will result in the forfeiture of the grant.</w:t>
      </w:r>
    </w:p>
    <w:p w14:paraId="6FAE240B" w14:textId="77777777" w:rsidR="00AE7BDB" w:rsidRPr="006571E0" w:rsidRDefault="00AE7BDB" w:rsidP="00AE7BDB">
      <w:pPr>
        <w:rPr>
          <w:sz w:val="20"/>
          <w:szCs w:val="20"/>
          <w:lang w:val="en-US"/>
        </w:rPr>
      </w:pPr>
    </w:p>
    <w:p w14:paraId="06A9B961" w14:textId="77777777" w:rsidR="00AE7BDB" w:rsidRPr="006571E0" w:rsidRDefault="00AE7BDB" w:rsidP="00AE7BDB">
      <w:pPr>
        <w:rPr>
          <w:b/>
          <w:sz w:val="20"/>
          <w:szCs w:val="20"/>
          <w:lang w:val="en-US"/>
        </w:rPr>
      </w:pPr>
      <w:r w:rsidRPr="006571E0">
        <w:rPr>
          <w:b/>
          <w:sz w:val="20"/>
          <w:szCs w:val="20"/>
          <w:lang w:val="en-US"/>
        </w:rPr>
        <w:t>ii) Department Information:</w:t>
      </w:r>
    </w:p>
    <w:p w14:paraId="3839699F" w14:textId="77777777" w:rsidR="00AE7BDB" w:rsidRPr="006571E0" w:rsidRDefault="00AE7BDB" w:rsidP="00AE7BDB">
      <w:pPr>
        <w:rPr>
          <w:b/>
          <w:sz w:val="20"/>
          <w:szCs w:val="20"/>
          <w:lang w:val="en-US"/>
        </w:rPr>
      </w:pPr>
    </w:p>
    <w:p w14:paraId="0D95D91F" w14:textId="77777777" w:rsidR="00AE7BDB" w:rsidRPr="006571E0" w:rsidRDefault="00AE7BDB" w:rsidP="00AE7BDB">
      <w:pPr>
        <w:rPr>
          <w:sz w:val="20"/>
          <w:szCs w:val="20"/>
          <w:lang w:val="en-US"/>
        </w:rPr>
      </w:pPr>
      <w:r w:rsidRPr="006571E0">
        <w:rPr>
          <w:sz w:val="20"/>
          <w:szCs w:val="20"/>
          <w:lang w:val="en-US"/>
        </w:rPr>
        <w:t xml:space="preserve">After reimbursement to the traveler occurs through the department, the Office of Research Services will transfer funds up to the amount of the award to the traveler’s department upon receipt by the Committee Secretary of a journal voucher.  The journal voucher should include the departmental account to be credited and the name of the faculty member who received the travel grant.  In addition, please attach </w:t>
      </w:r>
      <w:r w:rsidR="00A90B5C">
        <w:rPr>
          <w:sz w:val="20"/>
          <w:szCs w:val="20"/>
          <w:lang w:val="en-US"/>
        </w:rPr>
        <w:t xml:space="preserve">a signed and authorized Expense Report Form </w:t>
      </w:r>
      <w:r w:rsidRPr="006571E0">
        <w:rPr>
          <w:sz w:val="20"/>
          <w:szCs w:val="20"/>
          <w:lang w:val="en-US"/>
        </w:rPr>
        <w:t>which indicates that the travel commitment has been expended.</w:t>
      </w:r>
    </w:p>
    <w:p w14:paraId="48B7445E" w14:textId="77777777" w:rsidR="00AE7BDB" w:rsidRDefault="00AE7BDB" w:rsidP="00AE7BDB">
      <w:pPr>
        <w:rPr>
          <w:sz w:val="20"/>
          <w:szCs w:val="20"/>
          <w:lang w:val="en-US"/>
        </w:rPr>
      </w:pPr>
    </w:p>
    <w:p w14:paraId="39C69647" w14:textId="77777777" w:rsidR="00A90B5C" w:rsidRPr="006571E0" w:rsidRDefault="00A90B5C" w:rsidP="00AE7BDB">
      <w:pPr>
        <w:rPr>
          <w:sz w:val="20"/>
          <w:szCs w:val="20"/>
          <w:lang w:val="en-US"/>
        </w:rPr>
      </w:pPr>
    </w:p>
    <w:p w14:paraId="127FEA40" w14:textId="77777777" w:rsidR="00BA13AD" w:rsidRPr="006571E0" w:rsidRDefault="00AE7BDB" w:rsidP="00AE7BDB">
      <w:pPr>
        <w:rPr>
          <w:sz w:val="20"/>
          <w:szCs w:val="20"/>
          <w:lang w:val="en-US"/>
        </w:rPr>
      </w:pPr>
      <w:r w:rsidRPr="006571E0">
        <w:rPr>
          <w:b/>
          <w:i/>
          <w:sz w:val="20"/>
          <w:szCs w:val="20"/>
          <w:lang w:val="en-US"/>
        </w:rPr>
        <w:t>NOTE:  Reimbursement by the department must be claimed within two months following the conference date.  Without extenuating circumstances, failure to do so will result in forfeiture of the grant.</w:t>
      </w:r>
    </w:p>
    <w:sectPr w:rsidR="00BA13AD" w:rsidRPr="006571E0" w:rsidSect="00D536F7">
      <w:headerReference w:type="default" r:id="rId12"/>
      <w:footerReference w:type="default" r:id="rId13"/>
      <w:footerReference w:type="first" r:id="rId14"/>
      <w:pgSz w:w="12240" w:h="15840"/>
      <w:pgMar w:top="686" w:right="1080" w:bottom="720" w:left="1440" w:header="288"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FBB7" w14:textId="77777777" w:rsidR="001D5ECA" w:rsidRDefault="001D5ECA" w:rsidP="00F64850">
      <w:r>
        <w:separator/>
      </w:r>
    </w:p>
  </w:endnote>
  <w:endnote w:type="continuationSeparator" w:id="0">
    <w:p w14:paraId="5CA51CCF" w14:textId="77777777" w:rsidR="001D5ECA" w:rsidRDefault="001D5ECA"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mbo Std">
    <w:altName w:val="Cambria"/>
    <w:panose1 w:val="020B0604020202020204"/>
    <w:charset w:val="00"/>
    <w:family w:val="roman"/>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IN Next LT Pro">
    <w:altName w:val="Arial"/>
    <w:panose1 w:val="020B0604020202020204"/>
    <w:charset w:val="00"/>
    <w:family w:val="swiss"/>
    <w:notTrueType/>
    <w:pitch w:val="variable"/>
    <w:sig w:usb0="00000001" w:usb1="5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5889" w14:textId="6DB7F1E3" w:rsidR="002C2272" w:rsidRPr="00E16935" w:rsidRDefault="00CA1A43" w:rsidP="00CA1A43">
    <w:pPr>
      <w:pStyle w:val="Footer"/>
      <w:pBdr>
        <w:top w:val="single" w:sz="4" w:space="1" w:color="D9D9D9"/>
      </w:pBdr>
      <w:tabs>
        <w:tab w:val="clear" w:pos="8640"/>
        <w:tab w:val="right" w:pos="9720"/>
      </w:tabs>
      <w:jc w:val="right"/>
      <w:rPr>
        <w:b/>
        <w:bCs/>
        <w:color w:val="808080"/>
      </w:rPr>
    </w:pPr>
    <w:r w:rsidRPr="00C24082">
      <w:rPr>
        <w:color w:val="808080"/>
        <w:sz w:val="18"/>
        <w:szCs w:val="18"/>
      </w:rPr>
      <w:t xml:space="preserve">VPR Travel Grants in the SS &amp; HUM </w:t>
    </w:r>
    <w:r>
      <w:rPr>
        <w:color w:val="808080"/>
        <w:sz w:val="18"/>
        <w:szCs w:val="18"/>
      </w:rPr>
      <w:t xml:space="preserve">- </w:t>
    </w:r>
    <w:r w:rsidR="00D57702">
      <w:rPr>
        <w:b/>
        <w:color w:val="808080"/>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7F31" w14:textId="77777777" w:rsidR="00191917" w:rsidRDefault="00191917" w:rsidP="00191917">
    <w:pPr>
      <w:pStyle w:val="Footer"/>
      <w:pBdr>
        <w:top w:val="single" w:sz="4" w:space="1" w:color="D9D9D9"/>
      </w:pBdr>
      <w:tabs>
        <w:tab w:val="clear" w:pos="8640"/>
        <w:tab w:val="right" w:pos="9720"/>
      </w:tabs>
      <w:jc w:val="right"/>
      <w:rPr>
        <w:color w:val="808080"/>
        <w:sz w:val="18"/>
        <w:szCs w:val="18"/>
      </w:rPr>
    </w:pPr>
  </w:p>
  <w:p w14:paraId="194B3DCA" w14:textId="77777777" w:rsidR="00581FE6" w:rsidRPr="00191917" w:rsidRDefault="00191917" w:rsidP="00191917">
    <w:pPr>
      <w:pStyle w:val="Footer"/>
      <w:pBdr>
        <w:top w:val="single" w:sz="4" w:space="1" w:color="D9D9D9"/>
      </w:pBdr>
      <w:tabs>
        <w:tab w:val="clear" w:pos="8640"/>
        <w:tab w:val="right" w:pos="9720"/>
      </w:tabs>
      <w:jc w:val="right"/>
      <w:rPr>
        <w:b/>
        <w:bCs/>
        <w:color w:val="808080"/>
      </w:rPr>
    </w:pPr>
    <w:r w:rsidRPr="00C24082">
      <w:rPr>
        <w:color w:val="808080"/>
        <w:sz w:val="18"/>
        <w:szCs w:val="18"/>
      </w:rPr>
      <w:t xml:space="preserve">VPR Travel Grants in the SS &amp; HUM </w:t>
    </w:r>
    <w:r>
      <w:rPr>
        <w:color w:val="808080"/>
        <w:sz w:val="18"/>
        <w:szCs w:val="18"/>
      </w:rPr>
      <w:t xml:space="preserve">- </w:t>
    </w:r>
    <w:r w:rsidRPr="00164E42">
      <w:rPr>
        <w:b/>
        <w:color w:val="808080"/>
        <w:sz w:val="18"/>
        <w:szCs w:val="18"/>
      </w:rPr>
      <w:t>201</w:t>
    </w:r>
    <w:r w:rsidR="00CA1A43">
      <w:rPr>
        <w:b/>
        <w:color w:val="8080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C0F6" w14:textId="77777777" w:rsidR="001D5ECA" w:rsidRDefault="001D5ECA" w:rsidP="00F64850">
      <w:r>
        <w:separator/>
      </w:r>
    </w:p>
  </w:footnote>
  <w:footnote w:type="continuationSeparator" w:id="0">
    <w:p w14:paraId="5C64911F" w14:textId="77777777" w:rsidR="001D5ECA" w:rsidRDefault="001D5ECA" w:rsidP="00F64850">
      <w:r>
        <w:continuationSeparator/>
      </w:r>
    </w:p>
  </w:footnote>
  <w:footnote w:id="1">
    <w:p w14:paraId="340674F6" w14:textId="77777777" w:rsidR="00BA13AD" w:rsidRPr="00B402D4" w:rsidRDefault="00BA13AD" w:rsidP="00BA13AD">
      <w:pPr>
        <w:pStyle w:val="FootnoteText"/>
        <w:rPr>
          <w:sz w:val="16"/>
          <w:szCs w:val="16"/>
        </w:rPr>
      </w:pPr>
      <w:r>
        <w:rPr>
          <w:rStyle w:val="FootnoteReference"/>
        </w:rPr>
        <w:footnoteRef/>
      </w:r>
      <w:r w:rsidR="00BB189E">
        <w:rPr>
          <w:sz w:val="16"/>
          <w:szCs w:val="16"/>
        </w:rPr>
        <w:t xml:space="preserve"> </w:t>
      </w:r>
      <w:r>
        <w:rPr>
          <w:sz w:val="16"/>
          <w:szCs w:val="16"/>
        </w:rPr>
        <w:t>NOTE: “Creative Work” refers to the opening of a gallery art exhibit, or the performance of a musical or dance composition.</w:t>
      </w:r>
    </w:p>
  </w:footnote>
  <w:footnote w:id="2">
    <w:p w14:paraId="76C1CD0B" w14:textId="77777777" w:rsidR="00BA13AD" w:rsidRDefault="00BA13AD" w:rsidP="00BA13AD">
      <w:pPr>
        <w:pStyle w:val="FootnoteText"/>
      </w:pPr>
      <w:r>
        <w:rPr>
          <w:rStyle w:val="FootnoteReference"/>
        </w:rPr>
        <w:footnoteRef/>
      </w:r>
      <w:r w:rsidR="00BB189E">
        <w:rPr>
          <w:sz w:val="16"/>
          <w:szCs w:val="16"/>
        </w:rPr>
        <w:t xml:space="preserve"> </w:t>
      </w:r>
      <w:r w:rsidRPr="00EB0849">
        <w:rPr>
          <w:sz w:val="16"/>
          <w:szCs w:val="16"/>
        </w:rPr>
        <w:t>NOTE:</w:t>
      </w:r>
      <w:r>
        <w:rPr>
          <w:sz w:val="16"/>
          <w:szCs w:val="16"/>
        </w:rPr>
        <w:t xml:space="preserve"> North American Travel includes travel to Mexico. [International travel includes travel to Cuba.]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9CDC" w14:textId="77777777" w:rsidR="00D64CB7" w:rsidRPr="00D64CB7" w:rsidRDefault="001D5ECA" w:rsidP="00D64CB7">
    <w:pPr>
      <w:pStyle w:val="Header"/>
      <w:jc w:val="right"/>
      <w:rPr>
        <w:color w:val="808080"/>
        <w:sz w:val="18"/>
        <w:szCs w:val="18"/>
      </w:rPr>
    </w:pPr>
    <w:sdt>
      <w:sdtPr>
        <w:rPr>
          <w:color w:val="808080"/>
          <w:sz w:val="18"/>
          <w:szCs w:val="18"/>
        </w:rPr>
        <w:id w:val="98381352"/>
        <w:docPartObj>
          <w:docPartGallery w:val="Page Numbers (Top of Page)"/>
          <w:docPartUnique/>
        </w:docPartObj>
      </w:sdtPr>
      <w:sdtEndPr/>
      <w:sdtContent>
        <w:r w:rsidR="00D64CB7" w:rsidRPr="00D64CB7">
          <w:rPr>
            <w:color w:val="808080"/>
            <w:sz w:val="18"/>
            <w:szCs w:val="18"/>
          </w:rPr>
          <w:t xml:space="preserve">Page </w:t>
        </w:r>
        <w:r w:rsidR="00D64CB7" w:rsidRPr="00D64CB7">
          <w:rPr>
            <w:color w:val="808080"/>
            <w:sz w:val="18"/>
            <w:szCs w:val="18"/>
          </w:rPr>
          <w:fldChar w:fldCharType="begin"/>
        </w:r>
        <w:r w:rsidR="00D64CB7" w:rsidRPr="00D64CB7">
          <w:rPr>
            <w:color w:val="808080"/>
            <w:sz w:val="18"/>
            <w:szCs w:val="18"/>
          </w:rPr>
          <w:instrText xml:space="preserve"> PAGE </w:instrText>
        </w:r>
        <w:r w:rsidR="00D64CB7" w:rsidRPr="00D64CB7">
          <w:rPr>
            <w:color w:val="808080"/>
            <w:sz w:val="18"/>
            <w:szCs w:val="18"/>
          </w:rPr>
          <w:fldChar w:fldCharType="separate"/>
        </w:r>
        <w:r w:rsidR="00977C0F">
          <w:rPr>
            <w:noProof/>
            <w:color w:val="808080"/>
            <w:sz w:val="18"/>
            <w:szCs w:val="18"/>
          </w:rPr>
          <w:t>1</w:t>
        </w:r>
        <w:r w:rsidR="00D64CB7" w:rsidRPr="00D64CB7">
          <w:rPr>
            <w:color w:val="808080"/>
            <w:sz w:val="18"/>
            <w:szCs w:val="18"/>
          </w:rPr>
          <w:fldChar w:fldCharType="end"/>
        </w:r>
        <w:r w:rsidR="00D64CB7" w:rsidRPr="00D64CB7">
          <w:rPr>
            <w:color w:val="808080"/>
            <w:sz w:val="18"/>
            <w:szCs w:val="18"/>
          </w:rPr>
          <w:t xml:space="preserve"> of </w:t>
        </w:r>
        <w:r w:rsidR="00D64CB7" w:rsidRPr="00D64CB7">
          <w:rPr>
            <w:color w:val="808080"/>
            <w:sz w:val="18"/>
            <w:szCs w:val="18"/>
          </w:rPr>
          <w:fldChar w:fldCharType="begin"/>
        </w:r>
        <w:r w:rsidR="00D64CB7" w:rsidRPr="00D64CB7">
          <w:rPr>
            <w:color w:val="808080"/>
            <w:sz w:val="18"/>
            <w:szCs w:val="18"/>
          </w:rPr>
          <w:instrText xml:space="preserve"> NUMPAGES  </w:instrText>
        </w:r>
        <w:r w:rsidR="00D64CB7" w:rsidRPr="00D64CB7">
          <w:rPr>
            <w:color w:val="808080"/>
            <w:sz w:val="18"/>
            <w:szCs w:val="18"/>
          </w:rPr>
          <w:fldChar w:fldCharType="separate"/>
        </w:r>
        <w:r w:rsidR="00977C0F">
          <w:rPr>
            <w:noProof/>
            <w:color w:val="808080"/>
            <w:sz w:val="18"/>
            <w:szCs w:val="18"/>
          </w:rPr>
          <w:t>2</w:t>
        </w:r>
        <w:r w:rsidR="00D64CB7" w:rsidRPr="00D64CB7">
          <w:rPr>
            <w:color w:val="808080"/>
            <w:sz w:val="18"/>
            <w:szCs w:val="18"/>
          </w:rPr>
          <w:fldChar w:fldCharType="end"/>
        </w:r>
      </w:sdtContent>
    </w:sdt>
  </w:p>
  <w:p w14:paraId="05C5662A" w14:textId="77777777" w:rsidR="00FB2529" w:rsidRPr="00FB2529" w:rsidRDefault="00D64CB7" w:rsidP="00D64CB7">
    <w:pPr>
      <w:jc w:val="right"/>
      <w:rPr>
        <w:color w:val="808080"/>
        <w:sz w:val="18"/>
        <w:szCs w:val="18"/>
      </w:rPr>
    </w:pPr>
    <w:r w:rsidRPr="00FB2529">
      <w:rPr>
        <w:color w:val="808080"/>
        <w:sz w:val="18"/>
        <w:szCs w:val="18"/>
      </w:rPr>
      <w:t>VP Research Travel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F99"/>
    <w:multiLevelType w:val="hybridMultilevel"/>
    <w:tmpl w:val="2718203E"/>
    <w:lvl w:ilvl="0" w:tplc="51E2D5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40B43"/>
    <w:multiLevelType w:val="hybridMultilevel"/>
    <w:tmpl w:val="2B58415C"/>
    <w:lvl w:ilvl="0" w:tplc="34CAAAC0">
      <w:numFmt w:val="bullet"/>
      <w:lvlText w:val="•"/>
      <w:lvlJc w:val="left"/>
      <w:pPr>
        <w:ind w:left="720" w:hanging="360"/>
      </w:pPr>
      <w:rPr>
        <w:rFonts w:ascii="Bembo Std" w:eastAsiaTheme="minorEastAsia" w:hAnsi="Bembo St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462E9"/>
    <w:multiLevelType w:val="hybridMultilevel"/>
    <w:tmpl w:val="DEE48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63B5"/>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FFB360C"/>
    <w:multiLevelType w:val="hybridMultilevel"/>
    <w:tmpl w:val="2C30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FE4A81"/>
    <w:multiLevelType w:val="multilevel"/>
    <w:tmpl w:val="99303060"/>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7C1024"/>
    <w:multiLevelType w:val="hybridMultilevel"/>
    <w:tmpl w:val="E74AB7EE"/>
    <w:lvl w:ilvl="0" w:tplc="42703EC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970371"/>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C7082E"/>
    <w:multiLevelType w:val="hybridMultilevel"/>
    <w:tmpl w:val="D326F712"/>
    <w:lvl w:ilvl="0" w:tplc="53D6CB24">
      <w:start w:val="1"/>
      <w:numFmt w:val="upp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84001"/>
    <w:multiLevelType w:val="multilevel"/>
    <w:tmpl w:val="33349BDE"/>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B1B3ED9"/>
    <w:multiLevelType w:val="hybridMultilevel"/>
    <w:tmpl w:val="82EAE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EF18D8"/>
    <w:multiLevelType w:val="multilevel"/>
    <w:tmpl w:val="B5142CD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DF322C9"/>
    <w:multiLevelType w:val="hybridMultilevel"/>
    <w:tmpl w:val="7B1A2354"/>
    <w:lvl w:ilvl="0" w:tplc="DBBC611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2F7857"/>
    <w:multiLevelType w:val="hybridMultilevel"/>
    <w:tmpl w:val="DA2A2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86072"/>
    <w:multiLevelType w:val="hybridMultilevel"/>
    <w:tmpl w:val="1E867C3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45F2128"/>
    <w:multiLevelType w:val="hybridMultilevel"/>
    <w:tmpl w:val="64F0C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63B045C"/>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6BE2120"/>
    <w:multiLevelType w:val="hybridMultilevel"/>
    <w:tmpl w:val="59BCF8B8"/>
    <w:lvl w:ilvl="0" w:tplc="7144AF6C">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0209BA"/>
    <w:multiLevelType w:val="hybridMultilevel"/>
    <w:tmpl w:val="F9200336"/>
    <w:lvl w:ilvl="0" w:tplc="CE40F872">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197E2E"/>
    <w:multiLevelType w:val="hybridMultilevel"/>
    <w:tmpl w:val="1DFED8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1496442">
    <w:abstractNumId w:val="4"/>
  </w:num>
  <w:num w:numId="2" w16cid:durableId="318122575">
    <w:abstractNumId w:val="6"/>
  </w:num>
  <w:num w:numId="3" w16cid:durableId="638728027">
    <w:abstractNumId w:val="18"/>
  </w:num>
  <w:num w:numId="4" w16cid:durableId="2073459908">
    <w:abstractNumId w:val="15"/>
  </w:num>
  <w:num w:numId="5" w16cid:durableId="1734624606">
    <w:abstractNumId w:val="14"/>
  </w:num>
  <w:num w:numId="6" w16cid:durableId="715353983">
    <w:abstractNumId w:val="12"/>
  </w:num>
  <w:num w:numId="7" w16cid:durableId="436289448">
    <w:abstractNumId w:val="16"/>
  </w:num>
  <w:num w:numId="8" w16cid:durableId="1358196468">
    <w:abstractNumId w:val="3"/>
  </w:num>
  <w:num w:numId="9" w16cid:durableId="577524746">
    <w:abstractNumId w:val="7"/>
  </w:num>
  <w:num w:numId="10" w16cid:durableId="88353727">
    <w:abstractNumId w:val="2"/>
  </w:num>
  <w:num w:numId="11" w16cid:durableId="1484158042">
    <w:abstractNumId w:val="13"/>
  </w:num>
  <w:num w:numId="12" w16cid:durableId="1672873141">
    <w:abstractNumId w:val="19"/>
  </w:num>
  <w:num w:numId="13" w16cid:durableId="1525172186">
    <w:abstractNumId w:val="11"/>
  </w:num>
  <w:num w:numId="14" w16cid:durableId="1260138104">
    <w:abstractNumId w:val="8"/>
  </w:num>
  <w:num w:numId="15" w16cid:durableId="1872839870">
    <w:abstractNumId w:val="5"/>
  </w:num>
  <w:num w:numId="16" w16cid:durableId="1946881226">
    <w:abstractNumId w:val="17"/>
  </w:num>
  <w:num w:numId="17" w16cid:durableId="486437423">
    <w:abstractNumId w:val="9"/>
  </w:num>
  <w:num w:numId="18" w16cid:durableId="1218280497">
    <w:abstractNumId w:val="0"/>
  </w:num>
  <w:num w:numId="19" w16cid:durableId="1700083613">
    <w:abstractNumId w:val="10"/>
  </w:num>
  <w:num w:numId="20" w16cid:durableId="196635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8"/>
    <w:rsid w:val="0000575E"/>
    <w:rsid w:val="00011A72"/>
    <w:rsid w:val="000232B7"/>
    <w:rsid w:val="000370E9"/>
    <w:rsid w:val="00040BB4"/>
    <w:rsid w:val="00044CEE"/>
    <w:rsid w:val="000645D6"/>
    <w:rsid w:val="00075B36"/>
    <w:rsid w:val="00082E29"/>
    <w:rsid w:val="000843AF"/>
    <w:rsid w:val="000869C3"/>
    <w:rsid w:val="000A12FB"/>
    <w:rsid w:val="000A6E5C"/>
    <w:rsid w:val="000B409E"/>
    <w:rsid w:val="000C099B"/>
    <w:rsid w:val="000C1644"/>
    <w:rsid w:val="000D0D6D"/>
    <w:rsid w:val="000D629F"/>
    <w:rsid w:val="000E09FA"/>
    <w:rsid w:val="000E159E"/>
    <w:rsid w:val="000F2194"/>
    <w:rsid w:val="001154C5"/>
    <w:rsid w:val="001444F4"/>
    <w:rsid w:val="00144C67"/>
    <w:rsid w:val="0016405D"/>
    <w:rsid w:val="00167AD9"/>
    <w:rsid w:val="00170D47"/>
    <w:rsid w:val="00171E29"/>
    <w:rsid w:val="00177464"/>
    <w:rsid w:val="001837DC"/>
    <w:rsid w:val="00191917"/>
    <w:rsid w:val="00192565"/>
    <w:rsid w:val="0019787F"/>
    <w:rsid w:val="001B1137"/>
    <w:rsid w:val="001B4991"/>
    <w:rsid w:val="001B65B1"/>
    <w:rsid w:val="001D4174"/>
    <w:rsid w:val="001D5ECA"/>
    <w:rsid w:val="001D6136"/>
    <w:rsid w:val="001F0480"/>
    <w:rsid w:val="001F4CC4"/>
    <w:rsid w:val="001F5213"/>
    <w:rsid w:val="00207C78"/>
    <w:rsid w:val="002222C6"/>
    <w:rsid w:val="00232378"/>
    <w:rsid w:val="00240F52"/>
    <w:rsid w:val="002537C1"/>
    <w:rsid w:val="00253838"/>
    <w:rsid w:val="002558DD"/>
    <w:rsid w:val="00263129"/>
    <w:rsid w:val="00270314"/>
    <w:rsid w:val="00277F4C"/>
    <w:rsid w:val="0029075D"/>
    <w:rsid w:val="0029162A"/>
    <w:rsid w:val="002A5449"/>
    <w:rsid w:val="002A56F5"/>
    <w:rsid w:val="002C2272"/>
    <w:rsid w:val="002D2A22"/>
    <w:rsid w:val="002E3E8B"/>
    <w:rsid w:val="002F15FD"/>
    <w:rsid w:val="00311860"/>
    <w:rsid w:val="00313C7D"/>
    <w:rsid w:val="0032343E"/>
    <w:rsid w:val="0035160E"/>
    <w:rsid w:val="003539B6"/>
    <w:rsid w:val="0037175B"/>
    <w:rsid w:val="00376BAE"/>
    <w:rsid w:val="003829EE"/>
    <w:rsid w:val="003937A4"/>
    <w:rsid w:val="00394526"/>
    <w:rsid w:val="00395C79"/>
    <w:rsid w:val="003970D9"/>
    <w:rsid w:val="003B04A9"/>
    <w:rsid w:val="003B4B14"/>
    <w:rsid w:val="003B6955"/>
    <w:rsid w:val="003B7CF1"/>
    <w:rsid w:val="003C1AE3"/>
    <w:rsid w:val="003F060B"/>
    <w:rsid w:val="00403607"/>
    <w:rsid w:val="004052F2"/>
    <w:rsid w:val="004279FB"/>
    <w:rsid w:val="00451D01"/>
    <w:rsid w:val="004710A7"/>
    <w:rsid w:val="00471657"/>
    <w:rsid w:val="0047768A"/>
    <w:rsid w:val="004827E1"/>
    <w:rsid w:val="004A1E86"/>
    <w:rsid w:val="004A5E94"/>
    <w:rsid w:val="004B03FE"/>
    <w:rsid w:val="004B1A94"/>
    <w:rsid w:val="004C2CE4"/>
    <w:rsid w:val="004C7B19"/>
    <w:rsid w:val="004D765C"/>
    <w:rsid w:val="004E3814"/>
    <w:rsid w:val="004E38C2"/>
    <w:rsid w:val="004E7FDA"/>
    <w:rsid w:val="00506F58"/>
    <w:rsid w:val="00513DFF"/>
    <w:rsid w:val="00531BA9"/>
    <w:rsid w:val="00537331"/>
    <w:rsid w:val="00551089"/>
    <w:rsid w:val="00581FE6"/>
    <w:rsid w:val="005833DE"/>
    <w:rsid w:val="00595DDB"/>
    <w:rsid w:val="005967DC"/>
    <w:rsid w:val="005A1611"/>
    <w:rsid w:val="005A29FC"/>
    <w:rsid w:val="005B2072"/>
    <w:rsid w:val="005B6653"/>
    <w:rsid w:val="005D6462"/>
    <w:rsid w:val="005F2F3F"/>
    <w:rsid w:val="005F6813"/>
    <w:rsid w:val="00610873"/>
    <w:rsid w:val="006161E1"/>
    <w:rsid w:val="006249E1"/>
    <w:rsid w:val="00627283"/>
    <w:rsid w:val="00627E18"/>
    <w:rsid w:val="00641870"/>
    <w:rsid w:val="00645A39"/>
    <w:rsid w:val="00647859"/>
    <w:rsid w:val="006571E0"/>
    <w:rsid w:val="00674123"/>
    <w:rsid w:val="00682A90"/>
    <w:rsid w:val="00693707"/>
    <w:rsid w:val="006A448E"/>
    <w:rsid w:val="006B34E0"/>
    <w:rsid w:val="006C16E3"/>
    <w:rsid w:val="006C3337"/>
    <w:rsid w:val="006C4DAB"/>
    <w:rsid w:val="006D36BD"/>
    <w:rsid w:val="006D36C3"/>
    <w:rsid w:val="006D5CAE"/>
    <w:rsid w:val="006D7A62"/>
    <w:rsid w:val="006E62B7"/>
    <w:rsid w:val="006F5BA0"/>
    <w:rsid w:val="006F7FA5"/>
    <w:rsid w:val="00701D8E"/>
    <w:rsid w:val="00705D02"/>
    <w:rsid w:val="00716399"/>
    <w:rsid w:val="007341DA"/>
    <w:rsid w:val="0073753C"/>
    <w:rsid w:val="0074173A"/>
    <w:rsid w:val="007478FE"/>
    <w:rsid w:val="00750B43"/>
    <w:rsid w:val="00750CC9"/>
    <w:rsid w:val="00774D90"/>
    <w:rsid w:val="007765A7"/>
    <w:rsid w:val="007823E2"/>
    <w:rsid w:val="007A076E"/>
    <w:rsid w:val="007B3029"/>
    <w:rsid w:val="007C323C"/>
    <w:rsid w:val="007D2762"/>
    <w:rsid w:val="007D33C5"/>
    <w:rsid w:val="007D605B"/>
    <w:rsid w:val="007D74A7"/>
    <w:rsid w:val="007E01FE"/>
    <w:rsid w:val="007E3261"/>
    <w:rsid w:val="007E3632"/>
    <w:rsid w:val="007F6C0D"/>
    <w:rsid w:val="00800C44"/>
    <w:rsid w:val="008023D9"/>
    <w:rsid w:val="0080429D"/>
    <w:rsid w:val="00814F9F"/>
    <w:rsid w:val="00823DDA"/>
    <w:rsid w:val="00837147"/>
    <w:rsid w:val="00837E25"/>
    <w:rsid w:val="008466FF"/>
    <w:rsid w:val="00852235"/>
    <w:rsid w:val="008573DC"/>
    <w:rsid w:val="00862568"/>
    <w:rsid w:val="008A483B"/>
    <w:rsid w:val="008A4B06"/>
    <w:rsid w:val="008B31FF"/>
    <w:rsid w:val="008B53EC"/>
    <w:rsid w:val="008C6E58"/>
    <w:rsid w:val="008C71B6"/>
    <w:rsid w:val="008F6DEA"/>
    <w:rsid w:val="00906BD4"/>
    <w:rsid w:val="00912556"/>
    <w:rsid w:val="00913AE2"/>
    <w:rsid w:val="00917C25"/>
    <w:rsid w:val="00935187"/>
    <w:rsid w:val="00947E6A"/>
    <w:rsid w:val="0095188E"/>
    <w:rsid w:val="00951F92"/>
    <w:rsid w:val="00952D86"/>
    <w:rsid w:val="00955257"/>
    <w:rsid w:val="00960394"/>
    <w:rsid w:val="0096698B"/>
    <w:rsid w:val="00977C0F"/>
    <w:rsid w:val="00985771"/>
    <w:rsid w:val="00996496"/>
    <w:rsid w:val="009A42DB"/>
    <w:rsid w:val="009B00B7"/>
    <w:rsid w:val="009B327F"/>
    <w:rsid w:val="009B668E"/>
    <w:rsid w:val="009E23EF"/>
    <w:rsid w:val="009F50EE"/>
    <w:rsid w:val="00A1591E"/>
    <w:rsid w:val="00A16D8F"/>
    <w:rsid w:val="00A246AC"/>
    <w:rsid w:val="00A424BB"/>
    <w:rsid w:val="00A47CE2"/>
    <w:rsid w:val="00A53CE7"/>
    <w:rsid w:val="00A6507A"/>
    <w:rsid w:val="00A71226"/>
    <w:rsid w:val="00A71872"/>
    <w:rsid w:val="00A830FF"/>
    <w:rsid w:val="00A90B5C"/>
    <w:rsid w:val="00A936C0"/>
    <w:rsid w:val="00AC3755"/>
    <w:rsid w:val="00AC664B"/>
    <w:rsid w:val="00AE7BDB"/>
    <w:rsid w:val="00B0041E"/>
    <w:rsid w:val="00B310AE"/>
    <w:rsid w:val="00B40985"/>
    <w:rsid w:val="00B5376C"/>
    <w:rsid w:val="00B553E7"/>
    <w:rsid w:val="00B61298"/>
    <w:rsid w:val="00B63217"/>
    <w:rsid w:val="00B63A43"/>
    <w:rsid w:val="00B64730"/>
    <w:rsid w:val="00B73C18"/>
    <w:rsid w:val="00B920DF"/>
    <w:rsid w:val="00BA13AD"/>
    <w:rsid w:val="00BA2108"/>
    <w:rsid w:val="00BA3D8D"/>
    <w:rsid w:val="00BA41F2"/>
    <w:rsid w:val="00BB189E"/>
    <w:rsid w:val="00BD4C80"/>
    <w:rsid w:val="00BF1C59"/>
    <w:rsid w:val="00C00DF2"/>
    <w:rsid w:val="00C2272F"/>
    <w:rsid w:val="00C22BF9"/>
    <w:rsid w:val="00C24082"/>
    <w:rsid w:val="00C24BD5"/>
    <w:rsid w:val="00C33516"/>
    <w:rsid w:val="00C33C06"/>
    <w:rsid w:val="00C46104"/>
    <w:rsid w:val="00C504A4"/>
    <w:rsid w:val="00C54EF8"/>
    <w:rsid w:val="00C55D1B"/>
    <w:rsid w:val="00C64EF3"/>
    <w:rsid w:val="00C86F99"/>
    <w:rsid w:val="00CA1A43"/>
    <w:rsid w:val="00CC57D7"/>
    <w:rsid w:val="00CE0287"/>
    <w:rsid w:val="00CE5E90"/>
    <w:rsid w:val="00CF230E"/>
    <w:rsid w:val="00CF2387"/>
    <w:rsid w:val="00CF3DDA"/>
    <w:rsid w:val="00CF4047"/>
    <w:rsid w:val="00D00490"/>
    <w:rsid w:val="00D04098"/>
    <w:rsid w:val="00D07C77"/>
    <w:rsid w:val="00D13F92"/>
    <w:rsid w:val="00D163D0"/>
    <w:rsid w:val="00D30156"/>
    <w:rsid w:val="00D44A8D"/>
    <w:rsid w:val="00D44BFB"/>
    <w:rsid w:val="00D536F7"/>
    <w:rsid w:val="00D57702"/>
    <w:rsid w:val="00D632C8"/>
    <w:rsid w:val="00D64CB7"/>
    <w:rsid w:val="00D72F20"/>
    <w:rsid w:val="00D75098"/>
    <w:rsid w:val="00D754DC"/>
    <w:rsid w:val="00D84FB6"/>
    <w:rsid w:val="00D94E58"/>
    <w:rsid w:val="00DA55C3"/>
    <w:rsid w:val="00DB3DEC"/>
    <w:rsid w:val="00DC19F8"/>
    <w:rsid w:val="00DC32B9"/>
    <w:rsid w:val="00DD2ACC"/>
    <w:rsid w:val="00DD6F73"/>
    <w:rsid w:val="00DE5629"/>
    <w:rsid w:val="00DF4223"/>
    <w:rsid w:val="00E05C9E"/>
    <w:rsid w:val="00E0755B"/>
    <w:rsid w:val="00E07BF2"/>
    <w:rsid w:val="00E1342A"/>
    <w:rsid w:val="00E16935"/>
    <w:rsid w:val="00E30E57"/>
    <w:rsid w:val="00E31CC9"/>
    <w:rsid w:val="00E32301"/>
    <w:rsid w:val="00E36F00"/>
    <w:rsid w:val="00E45CBD"/>
    <w:rsid w:val="00E61276"/>
    <w:rsid w:val="00E7202D"/>
    <w:rsid w:val="00E824BA"/>
    <w:rsid w:val="00EA17B6"/>
    <w:rsid w:val="00EA4A2C"/>
    <w:rsid w:val="00EB4D0D"/>
    <w:rsid w:val="00EC66C4"/>
    <w:rsid w:val="00EC70E7"/>
    <w:rsid w:val="00ED3878"/>
    <w:rsid w:val="00ED7EEC"/>
    <w:rsid w:val="00EF3A55"/>
    <w:rsid w:val="00EF3A87"/>
    <w:rsid w:val="00EF6EF7"/>
    <w:rsid w:val="00F11B6B"/>
    <w:rsid w:val="00F33C8B"/>
    <w:rsid w:val="00F64850"/>
    <w:rsid w:val="00F83378"/>
    <w:rsid w:val="00F852E2"/>
    <w:rsid w:val="00F94C8C"/>
    <w:rsid w:val="00FB2529"/>
    <w:rsid w:val="00FB7C04"/>
    <w:rsid w:val="00FB7D2D"/>
    <w:rsid w:val="00FD1140"/>
    <w:rsid w:val="00FD55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2952F"/>
  <w14:defaultImageDpi w14:val="300"/>
  <w15:docId w15:val="{8C33513E-DE5C-4C20-A255-63A71E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BB"/>
    <w:rPr>
      <w:rFonts w:ascii="Bembo Std" w:hAnsi="Bembo Std"/>
      <w:sz w:val="22"/>
    </w:rPr>
  </w:style>
  <w:style w:type="paragraph" w:styleId="Heading1">
    <w:name w:val="heading 1"/>
    <w:basedOn w:val="Title"/>
    <w:next w:val="Normal"/>
    <w:link w:val="Heading1Char"/>
    <w:uiPriority w:val="9"/>
    <w:qFormat/>
    <w:rsid w:val="00B5376C"/>
    <w:pPr>
      <w:jc w:val="left"/>
      <w:outlineLvl w:val="0"/>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iPriority w:val="99"/>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szCs w:val="22"/>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table" w:styleId="TableGrid">
    <w:name w:val="Table Grid"/>
    <w:basedOn w:val="TableNormal"/>
    <w:uiPriority w:val="59"/>
    <w:rsid w:val="0091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26"/>
    <w:pPr>
      <w:ind w:left="720"/>
      <w:contextualSpacing/>
    </w:pPr>
  </w:style>
  <w:style w:type="character" w:styleId="PlaceholderText">
    <w:name w:val="Placeholder Text"/>
    <w:basedOn w:val="DefaultParagraphFont"/>
    <w:uiPriority w:val="99"/>
    <w:semiHidden/>
    <w:rsid w:val="00C54EF8"/>
    <w:rPr>
      <w:color w:val="808080"/>
    </w:rPr>
  </w:style>
  <w:style w:type="paragraph" w:styleId="NormalWeb">
    <w:name w:val="Normal (Web)"/>
    <w:basedOn w:val="Normal"/>
    <w:uiPriority w:val="99"/>
    <w:unhideWhenUsed/>
    <w:rsid w:val="00610873"/>
    <w:pPr>
      <w:spacing w:before="100" w:beforeAutospacing="1" w:after="100" w:afterAutospacing="1"/>
    </w:pPr>
    <w:rPr>
      <w:rFonts w:eastAsia="Times New Roman" w:cs="Times New Roman"/>
      <w:sz w:val="24"/>
      <w:lang w:eastAsia="en-CA"/>
    </w:rPr>
  </w:style>
  <w:style w:type="paragraph" w:styleId="Revision">
    <w:name w:val="Revision"/>
    <w:hidden/>
    <w:uiPriority w:val="99"/>
    <w:semiHidden/>
    <w:rsid w:val="00B64730"/>
    <w:rPr>
      <w:rFonts w:ascii="Times New Roman" w:hAnsi="Times New Roman"/>
      <w:sz w:val="22"/>
    </w:rPr>
  </w:style>
  <w:style w:type="character" w:styleId="Hyperlink">
    <w:name w:val="Hyperlink"/>
    <w:basedOn w:val="DefaultParagraphFont"/>
    <w:uiPriority w:val="99"/>
    <w:unhideWhenUsed/>
    <w:rsid w:val="00852235"/>
    <w:rPr>
      <w:color w:val="0000FF" w:themeColor="hyperlink"/>
      <w:u w:val="single"/>
    </w:rPr>
  </w:style>
  <w:style w:type="paragraph" w:styleId="NoSpacing">
    <w:name w:val="No Spacing"/>
    <w:link w:val="NoSpacingChar"/>
    <w:uiPriority w:val="1"/>
    <w:qFormat/>
    <w:rsid w:val="007E3261"/>
    <w:rPr>
      <w:sz w:val="22"/>
      <w:szCs w:val="22"/>
      <w:lang w:val="en-US"/>
    </w:rPr>
  </w:style>
  <w:style w:type="character" w:customStyle="1" w:styleId="NoSpacingChar">
    <w:name w:val="No Spacing Char"/>
    <w:basedOn w:val="DefaultParagraphFont"/>
    <w:link w:val="NoSpacing"/>
    <w:uiPriority w:val="1"/>
    <w:rsid w:val="007E3261"/>
    <w:rPr>
      <w:sz w:val="22"/>
      <w:szCs w:val="22"/>
      <w:lang w:val="en-US"/>
    </w:rPr>
  </w:style>
  <w:style w:type="paragraph" w:customStyle="1" w:styleId="marginhead">
    <w:name w:val="margin head"/>
    <w:aliases w:val="mar"/>
    <w:basedOn w:val="flush1"/>
    <w:next w:val="Normal"/>
    <w:rsid w:val="00705D02"/>
    <w:pPr>
      <w:keepNext/>
    </w:pPr>
    <w:rPr>
      <w:b/>
      <w:bCs/>
    </w:rPr>
  </w:style>
  <w:style w:type="paragraph" w:customStyle="1" w:styleId="flush1">
    <w:name w:val="flush1"/>
    <w:aliases w:val="f1"/>
    <w:basedOn w:val="Normal"/>
    <w:rsid w:val="00705D02"/>
    <w:pPr>
      <w:autoSpaceDE w:val="0"/>
      <w:autoSpaceDN w:val="0"/>
      <w:spacing w:before="160"/>
    </w:pPr>
    <w:rPr>
      <w:rFonts w:ascii="Palatino" w:eastAsia="Times New Roman" w:hAnsi="Palatino" w:cs="Times New Roman"/>
      <w:sz w:val="20"/>
      <w:lang w:val="en-US"/>
    </w:rPr>
  </w:style>
  <w:style w:type="paragraph" w:customStyle="1" w:styleId="flushdense">
    <w:name w:val="flush dense"/>
    <w:aliases w:val="fd"/>
    <w:basedOn w:val="Normal"/>
    <w:rsid w:val="00705D02"/>
    <w:pPr>
      <w:autoSpaceDE w:val="0"/>
      <w:autoSpaceDN w:val="0"/>
    </w:pPr>
    <w:rPr>
      <w:rFonts w:ascii="Palatino" w:eastAsia="Times New Roman" w:hAnsi="Palatino" w:cs="Times New Roman"/>
      <w:sz w:val="20"/>
      <w:lang w:val="en-US"/>
    </w:rPr>
  </w:style>
  <w:style w:type="character" w:customStyle="1" w:styleId="Heading1Char">
    <w:name w:val="Heading 1 Char"/>
    <w:basedOn w:val="DefaultParagraphFont"/>
    <w:link w:val="Heading1"/>
    <w:uiPriority w:val="9"/>
    <w:rsid w:val="00B5376C"/>
    <w:rPr>
      <w:rFonts w:ascii="DIN Next LT Pro" w:hAnsi="DIN Next LT Pro" w:cs="Arial"/>
      <w:b/>
      <w:i/>
      <w:sz w:val="28"/>
      <w:szCs w:val="28"/>
      <w:u w:val="single"/>
    </w:rPr>
  </w:style>
  <w:style w:type="character" w:styleId="FollowedHyperlink">
    <w:name w:val="FollowedHyperlink"/>
    <w:basedOn w:val="DefaultParagraphFont"/>
    <w:uiPriority w:val="99"/>
    <w:semiHidden/>
    <w:unhideWhenUsed/>
    <w:rsid w:val="003B7CF1"/>
    <w:rPr>
      <w:color w:val="800080" w:themeColor="followedHyperlink"/>
      <w:u w:val="single"/>
    </w:rPr>
  </w:style>
  <w:style w:type="paragraph" w:styleId="Title">
    <w:name w:val="Title"/>
    <w:basedOn w:val="Normal"/>
    <w:next w:val="Normal"/>
    <w:link w:val="TitleChar"/>
    <w:uiPriority w:val="10"/>
    <w:qFormat/>
    <w:rsid w:val="00645A39"/>
    <w:pPr>
      <w:jc w:val="center"/>
    </w:pPr>
    <w:rPr>
      <w:rFonts w:ascii="DIN Next LT Pro" w:hAnsi="DIN Next LT Pro" w:cs="Arial"/>
      <w:b/>
      <w:sz w:val="28"/>
      <w:szCs w:val="28"/>
    </w:rPr>
  </w:style>
  <w:style w:type="character" w:customStyle="1" w:styleId="TitleChar">
    <w:name w:val="Title Char"/>
    <w:basedOn w:val="DefaultParagraphFont"/>
    <w:link w:val="Title"/>
    <w:uiPriority w:val="10"/>
    <w:rsid w:val="00645A39"/>
    <w:rPr>
      <w:rFonts w:ascii="DIN Next LT Pro" w:hAnsi="DIN Next LT Pro" w:cs="Arial"/>
      <w:b/>
      <w:sz w:val="28"/>
      <w:szCs w:val="28"/>
    </w:rPr>
  </w:style>
  <w:style w:type="paragraph" w:styleId="FootnoteText">
    <w:name w:val="footnote text"/>
    <w:basedOn w:val="Normal"/>
    <w:link w:val="FootnoteTextChar"/>
    <w:semiHidden/>
    <w:rsid w:val="00693707"/>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93707"/>
    <w:rPr>
      <w:rFonts w:ascii="Times New Roman" w:eastAsia="Times New Roman" w:hAnsi="Times New Roman" w:cs="Times New Roman"/>
      <w:sz w:val="20"/>
      <w:szCs w:val="20"/>
      <w:lang w:val="en-US"/>
    </w:rPr>
  </w:style>
  <w:style w:type="character" w:styleId="FootnoteReference">
    <w:name w:val="footnote reference"/>
    <w:semiHidden/>
    <w:rsid w:val="00693707"/>
    <w:rPr>
      <w:vertAlign w:val="superscript"/>
    </w:rPr>
  </w:style>
  <w:style w:type="character" w:styleId="UnresolvedMention">
    <w:name w:val="Unresolved Mention"/>
    <w:basedOn w:val="DefaultParagraphFont"/>
    <w:uiPriority w:val="99"/>
    <w:semiHidden/>
    <w:unhideWhenUsed/>
    <w:rsid w:val="004E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641423270">
      <w:bodyDiv w:val="1"/>
      <w:marLeft w:val="0"/>
      <w:marRight w:val="0"/>
      <w:marTop w:val="0"/>
      <w:marBottom w:val="0"/>
      <w:divBdr>
        <w:top w:val="none" w:sz="0" w:space="0" w:color="auto"/>
        <w:left w:val="none" w:sz="0" w:space="0" w:color="auto"/>
        <w:bottom w:val="none" w:sz="0" w:space="0" w:color="auto"/>
        <w:right w:val="none" w:sz="0" w:space="0" w:color="auto"/>
      </w:divBdr>
    </w:div>
    <w:div w:id="716129871">
      <w:bodyDiv w:val="1"/>
      <w:marLeft w:val="0"/>
      <w:marRight w:val="0"/>
      <w:marTop w:val="0"/>
      <w:marBottom w:val="0"/>
      <w:divBdr>
        <w:top w:val="none" w:sz="0" w:space="0" w:color="auto"/>
        <w:left w:val="none" w:sz="0" w:space="0" w:color="auto"/>
        <w:bottom w:val="none" w:sz="0" w:space="0" w:color="auto"/>
        <w:right w:val="none" w:sz="0" w:space="0" w:color="auto"/>
      </w:divBdr>
    </w:div>
    <w:div w:id="210005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u.ca/content/dam/sfu/srs/risk-emergency-planning/travel-safety/2020.09.08%20Interim%20International%20Travel%20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u.ca/research/researcher-resources/proposal-development/sfu-signature-she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s@sfu.ca" TargetMode="External"/><Relationship Id="rId4" Type="http://schemas.openxmlformats.org/officeDocument/2006/relationships/settings" Target="settings.xml"/><Relationship Id="rId9" Type="http://schemas.openxmlformats.org/officeDocument/2006/relationships/hyperlink" Target="https://www.sfu.ca/srs/risk-emergency-planning/travel-safety/get-started-for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B570-0CF4-4AE1-8BFA-EC451A61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Pohl</dc:creator>
  <cp:keywords/>
  <dc:description/>
  <cp:lastModifiedBy>Anne-Marie Bourret</cp:lastModifiedBy>
  <cp:revision>5</cp:revision>
  <cp:lastPrinted>2018-03-23T17:57:00Z</cp:lastPrinted>
  <dcterms:created xsi:type="dcterms:W3CDTF">2022-04-19T17:32:00Z</dcterms:created>
  <dcterms:modified xsi:type="dcterms:W3CDTF">2022-04-28T17:51:00Z</dcterms:modified>
</cp:coreProperties>
</file>